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9632"/>
      </w:tblGrid>
      <w:tr w:rsidR="008407B8" w14:paraId="2B4C603E" w14:textId="77777777">
        <w:trPr>
          <w:jc w:val="center"/>
        </w:trPr>
        <w:tc>
          <w:tcPr>
            <w:tcW w:w="9632" w:type="dxa"/>
            <w:shd w:val="clear" w:color="auto" w:fill="243B5A"/>
            <w:vAlign w:val="center"/>
          </w:tcPr>
          <w:p w14:paraId="295C430C" w14:textId="77777777" w:rsidR="008407B8" w:rsidRDefault="00000000">
            <w:pPr>
              <w:jc w:val="center"/>
            </w:pPr>
            <w:r>
              <w:rPr>
                <w:b/>
                <w:color w:val="FFFFFF"/>
                <w:sz w:val="40"/>
              </w:rPr>
              <w:t>Compendio Nacional de Identidad, Gestión y Transparencia</w:t>
            </w:r>
            <w:r>
              <w:rPr>
                <w:b/>
                <w:color w:val="FFFFFF"/>
                <w:sz w:val="40"/>
              </w:rPr>
              <w:br/>
              <w:t>Red Marista Ecuador (Edición 2026)</w:t>
            </w:r>
          </w:p>
          <w:p w14:paraId="5384DE2E" w14:textId="77777777" w:rsidR="008407B8" w:rsidRDefault="00000000">
            <w:pPr>
              <w:jc w:val="center"/>
            </w:pPr>
            <w:r>
              <w:rPr>
                <w:color w:val="E6E6E6"/>
                <w:sz w:val="24"/>
              </w:rPr>
              <w:t>Estructura institucional, marco de cumplimiento, calidad educativa, ecosistema digital y Entornos Seguros</w:t>
            </w:r>
          </w:p>
        </w:tc>
      </w:tr>
      <w:tr w:rsidR="008407B8" w14:paraId="3C6C5FEF" w14:textId="77777777">
        <w:trPr>
          <w:jc w:val="center"/>
        </w:trPr>
        <w:tc>
          <w:tcPr>
            <w:tcW w:w="9632" w:type="dxa"/>
            <w:shd w:val="clear" w:color="auto" w:fill="C9A227"/>
          </w:tcPr>
          <w:p w14:paraId="2C14FE4B" w14:textId="77777777" w:rsidR="008407B8" w:rsidRDefault="00000000">
            <w:r>
              <w:t xml:space="preserve"> </w:t>
            </w:r>
          </w:p>
        </w:tc>
      </w:tr>
    </w:tbl>
    <w:p w14:paraId="24A921C0" w14:textId="77777777" w:rsidR="008407B8" w:rsidRDefault="008407B8"/>
    <w:tbl>
      <w:tblPr>
        <w:tblW w:w="0" w:type="auto"/>
        <w:jc w:val="center"/>
        <w:tblLook w:val="04A0" w:firstRow="1" w:lastRow="0" w:firstColumn="1" w:lastColumn="0" w:noHBand="0" w:noVBand="1"/>
      </w:tblPr>
      <w:tblGrid>
        <w:gridCol w:w="9632"/>
      </w:tblGrid>
      <w:tr w:rsidR="008407B8" w14:paraId="47E01FAE" w14:textId="77777777">
        <w:trPr>
          <w:jc w:val="center"/>
        </w:trPr>
        <w:tc>
          <w:tcPr>
            <w:tcW w:w="9632" w:type="dxa"/>
            <w:shd w:val="clear" w:color="auto" w:fill="F3F5F7"/>
          </w:tcPr>
          <w:p w14:paraId="078098FF" w14:textId="77777777" w:rsidR="008407B8" w:rsidRDefault="00000000">
            <w:r>
              <w:rPr>
                <w:b/>
                <w:color w:val="243B5A"/>
                <w:sz w:val="24"/>
              </w:rPr>
              <w:t>Propósito del documento</w:t>
            </w:r>
          </w:p>
          <w:p w14:paraId="6B7A24BC" w14:textId="77777777" w:rsidR="008407B8" w:rsidRDefault="00000000">
            <w:r>
              <w:rPr>
                <w:color w:val="222222"/>
              </w:rPr>
              <w:t>Este compendio reúne los lineamientos de identidad, gestión, transparencia y protección aplicables a la Red Marista Ecuador. Su finalidad es servir como referencia institucional para la comunidad educativa, respaldar la comunicación oficial y orientar la mejora continua.</w:t>
            </w:r>
          </w:p>
        </w:tc>
      </w:tr>
    </w:tbl>
    <w:p w14:paraId="7C2C38E3" w14:textId="77777777" w:rsidR="008407B8" w:rsidRDefault="00000000">
      <w:r>
        <w:br w:type="page"/>
      </w:r>
    </w:p>
    <w:tbl>
      <w:tblPr>
        <w:tblW w:w="0" w:type="auto"/>
        <w:jc w:val="center"/>
        <w:tblLook w:val="04A0" w:firstRow="1" w:lastRow="0" w:firstColumn="1" w:lastColumn="0" w:noHBand="0" w:noVBand="1"/>
      </w:tblPr>
      <w:tblGrid>
        <w:gridCol w:w="1440"/>
        <w:gridCol w:w="8192"/>
      </w:tblGrid>
      <w:tr w:rsidR="008407B8" w14:paraId="160009DB" w14:textId="77777777">
        <w:trPr>
          <w:jc w:val="center"/>
        </w:trPr>
        <w:tc>
          <w:tcPr>
            <w:tcW w:w="1440" w:type="dxa"/>
            <w:shd w:val="clear" w:color="auto" w:fill="243B5A"/>
            <w:vAlign w:val="center"/>
          </w:tcPr>
          <w:p w14:paraId="478F6522" w14:textId="77777777" w:rsidR="008407B8" w:rsidRDefault="00000000">
            <w:pPr>
              <w:jc w:val="center"/>
            </w:pPr>
            <w:r>
              <w:rPr>
                <w:b/>
                <w:color w:val="FFFFFF"/>
                <w:sz w:val="56"/>
              </w:rPr>
              <w:lastRenderedPageBreak/>
              <w:t>01</w:t>
            </w:r>
          </w:p>
        </w:tc>
        <w:tc>
          <w:tcPr>
            <w:tcW w:w="8064" w:type="dxa"/>
            <w:shd w:val="clear" w:color="auto" w:fill="243B5A"/>
            <w:vAlign w:val="center"/>
          </w:tcPr>
          <w:p w14:paraId="6327AF2D" w14:textId="77777777" w:rsidR="008407B8" w:rsidRDefault="00000000">
            <w:r>
              <w:rPr>
                <w:b/>
                <w:color w:val="FFFFFF"/>
                <w:sz w:val="28"/>
              </w:rPr>
              <w:t>Identidad y Propósito Nacional</w:t>
            </w:r>
          </w:p>
          <w:p w14:paraId="04784BC9" w14:textId="77777777" w:rsidR="008407B8" w:rsidRDefault="00000000">
            <w:r>
              <w:rPr>
                <w:color w:val="E6E6E6"/>
              </w:rPr>
              <w:t>Del carisma fundacional al servicio educativo en Ecuador</w:t>
            </w:r>
          </w:p>
        </w:tc>
      </w:tr>
      <w:tr w:rsidR="008407B8" w14:paraId="417FDBBE" w14:textId="77777777">
        <w:trPr>
          <w:jc w:val="center"/>
        </w:trPr>
        <w:tc>
          <w:tcPr>
            <w:tcW w:w="9632" w:type="dxa"/>
            <w:gridSpan w:val="2"/>
            <w:shd w:val="clear" w:color="auto" w:fill="C9A227"/>
          </w:tcPr>
          <w:p w14:paraId="1A86D401" w14:textId="77777777" w:rsidR="008407B8" w:rsidRDefault="00000000">
            <w:r>
              <w:t xml:space="preserve"> </w:t>
            </w:r>
          </w:p>
        </w:tc>
      </w:tr>
    </w:tbl>
    <w:p w14:paraId="611DD666" w14:textId="77777777" w:rsidR="008407B8" w:rsidRDefault="008407B8"/>
    <w:tbl>
      <w:tblPr>
        <w:tblW w:w="0" w:type="auto"/>
        <w:jc w:val="center"/>
        <w:tblLook w:val="04A0" w:firstRow="1" w:lastRow="0" w:firstColumn="1" w:lastColumn="0" w:noHBand="0" w:noVBand="1"/>
      </w:tblPr>
      <w:tblGrid>
        <w:gridCol w:w="1008"/>
        <w:gridCol w:w="8496"/>
      </w:tblGrid>
      <w:tr w:rsidR="008407B8" w14:paraId="5B98E7AA" w14:textId="77777777">
        <w:trPr>
          <w:jc w:val="center"/>
        </w:trPr>
        <w:tc>
          <w:tcPr>
            <w:tcW w:w="1008" w:type="dxa"/>
            <w:shd w:val="clear" w:color="auto" w:fill="F3F5F7"/>
            <w:vAlign w:val="center"/>
          </w:tcPr>
          <w:p w14:paraId="50B6E0BE" w14:textId="77777777" w:rsidR="008407B8" w:rsidRDefault="00000000">
            <w:pPr>
              <w:jc w:val="center"/>
            </w:pPr>
            <w:r>
              <w:rPr>
                <w:b/>
                <w:color w:val="243B5A"/>
                <w:sz w:val="36"/>
              </w:rPr>
              <w:t>🏛️</w:t>
            </w:r>
          </w:p>
        </w:tc>
        <w:tc>
          <w:tcPr>
            <w:tcW w:w="8496" w:type="dxa"/>
            <w:shd w:val="clear" w:color="auto" w:fill="F3F5F7"/>
          </w:tcPr>
          <w:p w14:paraId="12D8C320" w14:textId="77777777" w:rsidR="008407B8" w:rsidRDefault="00000000">
            <w:r>
              <w:rPr>
                <w:b/>
                <w:color w:val="243B5A"/>
                <w:sz w:val="24"/>
              </w:rPr>
              <w:t>Historia: San Marcelino Champagnat y presencia en Ecuador</w:t>
            </w:r>
          </w:p>
          <w:p w14:paraId="20C25DE5" w14:textId="77777777" w:rsidR="008407B8" w:rsidRDefault="00000000">
            <w:r>
              <w:rPr>
                <w:color w:val="222222"/>
              </w:rPr>
              <w:t>La espiritualidad y misión educativa marista nacen del carisma de San Marcelino Champagnat, quien promovió una educación cercana, práctica y profundamente humana. En Ecuador, la obra marista reconoce hitos fundacionales asociados a la consolidación institucional en Catacocha (1957) y su expansión a Quito, sosteniendo el espíritu de familia como rasgo transversal de identidad y gestión.</w:t>
            </w:r>
          </w:p>
        </w:tc>
      </w:tr>
    </w:tbl>
    <w:p w14:paraId="13FC5DEB" w14:textId="77777777" w:rsidR="008407B8" w:rsidRDefault="008407B8"/>
    <w:tbl>
      <w:tblPr>
        <w:tblW w:w="0" w:type="auto"/>
        <w:jc w:val="center"/>
        <w:tblLook w:val="04A0" w:firstRow="1" w:lastRow="0" w:firstColumn="1" w:lastColumn="0" w:noHBand="0" w:noVBand="1"/>
      </w:tblPr>
      <w:tblGrid>
        <w:gridCol w:w="1008"/>
        <w:gridCol w:w="8496"/>
      </w:tblGrid>
      <w:tr w:rsidR="008407B8" w14:paraId="38B2A0DA" w14:textId="77777777">
        <w:trPr>
          <w:jc w:val="center"/>
        </w:trPr>
        <w:tc>
          <w:tcPr>
            <w:tcW w:w="1008" w:type="dxa"/>
            <w:shd w:val="clear" w:color="auto" w:fill="F3F5F7"/>
            <w:vAlign w:val="center"/>
          </w:tcPr>
          <w:p w14:paraId="53ABCF32" w14:textId="77777777" w:rsidR="008407B8" w:rsidRDefault="00000000">
            <w:pPr>
              <w:jc w:val="center"/>
            </w:pPr>
            <w:r>
              <w:rPr>
                <w:b/>
                <w:color w:val="243B5A"/>
                <w:sz w:val="36"/>
              </w:rPr>
              <w:t>🎓</w:t>
            </w:r>
          </w:p>
        </w:tc>
        <w:tc>
          <w:tcPr>
            <w:tcW w:w="8496" w:type="dxa"/>
            <w:shd w:val="clear" w:color="auto" w:fill="F3F5F7"/>
          </w:tcPr>
          <w:p w14:paraId="01388E4E" w14:textId="77777777" w:rsidR="008407B8" w:rsidRDefault="00000000">
            <w:r>
              <w:rPr>
                <w:b/>
                <w:color w:val="243B5A"/>
                <w:sz w:val="24"/>
              </w:rPr>
              <w:t>Misión</w:t>
            </w:r>
          </w:p>
          <w:p w14:paraId="71B7F158" w14:textId="77777777" w:rsidR="008407B8" w:rsidRDefault="00000000">
            <w:r>
              <w:rPr>
                <w:color w:val="222222"/>
              </w:rPr>
              <w:t>La misión de la Red Marista Ecuador se expresa en el principio “Evangelizar educando”, asumido bajo los valores de sencillez, presencia y espíritu de familia. Estos valores orientan el estilo pedagógico, el acompañamiento cotidiano y la convivencia institucional.</w:t>
            </w:r>
          </w:p>
        </w:tc>
      </w:tr>
    </w:tbl>
    <w:p w14:paraId="37D18F28" w14:textId="77777777" w:rsidR="008407B8" w:rsidRDefault="008407B8"/>
    <w:tbl>
      <w:tblPr>
        <w:tblW w:w="0" w:type="auto"/>
        <w:jc w:val="center"/>
        <w:tblLook w:val="04A0" w:firstRow="1" w:lastRow="0" w:firstColumn="1" w:lastColumn="0" w:noHBand="0" w:noVBand="1"/>
      </w:tblPr>
      <w:tblGrid>
        <w:gridCol w:w="1008"/>
        <w:gridCol w:w="8496"/>
      </w:tblGrid>
      <w:tr w:rsidR="008407B8" w14:paraId="7A0FE23E" w14:textId="77777777">
        <w:trPr>
          <w:jc w:val="center"/>
        </w:trPr>
        <w:tc>
          <w:tcPr>
            <w:tcW w:w="1008" w:type="dxa"/>
            <w:shd w:val="clear" w:color="auto" w:fill="F3F5F7"/>
            <w:vAlign w:val="center"/>
          </w:tcPr>
          <w:p w14:paraId="7D6DC1B3" w14:textId="77777777" w:rsidR="008407B8" w:rsidRDefault="00000000">
            <w:pPr>
              <w:jc w:val="center"/>
            </w:pPr>
            <w:r>
              <w:rPr>
                <w:b/>
                <w:color w:val="243B5A"/>
                <w:sz w:val="36"/>
              </w:rPr>
              <w:t>🧭</w:t>
            </w:r>
          </w:p>
        </w:tc>
        <w:tc>
          <w:tcPr>
            <w:tcW w:w="8496" w:type="dxa"/>
            <w:shd w:val="clear" w:color="auto" w:fill="F3F5F7"/>
          </w:tcPr>
          <w:p w14:paraId="76ACFDDD" w14:textId="77777777" w:rsidR="008407B8" w:rsidRDefault="00000000">
            <w:r>
              <w:rPr>
                <w:b/>
                <w:color w:val="243B5A"/>
                <w:sz w:val="24"/>
              </w:rPr>
              <w:t>Visión 2026 y Visión 2028</w:t>
            </w:r>
          </w:p>
          <w:p w14:paraId="659401A4" w14:textId="77777777" w:rsidR="008407B8" w:rsidRDefault="00000000">
            <w:r>
              <w:rPr>
                <w:color w:val="222222"/>
              </w:rPr>
              <w:t>Visión 2026: liderazgo en innovación educativa y consolidación de Entornos Seguros en todas las obras del país. Visión 2028: enfoque estratégico en bilingüismo, investigación educativa aplicada y transformación digital para fortalecer aprendizaje, eficiencia y calidad de servicio.</w:t>
            </w:r>
          </w:p>
        </w:tc>
      </w:tr>
    </w:tbl>
    <w:p w14:paraId="4E67536B" w14:textId="77777777" w:rsidR="008407B8" w:rsidRDefault="008407B8"/>
    <w:p w14:paraId="6CF8031D" w14:textId="77777777" w:rsidR="008407B8" w:rsidRDefault="00000000">
      <w:r>
        <w:br w:type="page"/>
      </w:r>
    </w:p>
    <w:tbl>
      <w:tblPr>
        <w:tblW w:w="0" w:type="auto"/>
        <w:jc w:val="center"/>
        <w:tblLook w:val="04A0" w:firstRow="1" w:lastRow="0" w:firstColumn="1" w:lastColumn="0" w:noHBand="0" w:noVBand="1"/>
      </w:tblPr>
      <w:tblGrid>
        <w:gridCol w:w="1440"/>
        <w:gridCol w:w="8192"/>
      </w:tblGrid>
      <w:tr w:rsidR="008407B8" w14:paraId="19BF4D0F" w14:textId="77777777">
        <w:trPr>
          <w:jc w:val="center"/>
        </w:trPr>
        <w:tc>
          <w:tcPr>
            <w:tcW w:w="1440" w:type="dxa"/>
            <w:shd w:val="clear" w:color="auto" w:fill="243B5A"/>
            <w:vAlign w:val="center"/>
          </w:tcPr>
          <w:p w14:paraId="019C682D" w14:textId="77777777" w:rsidR="008407B8" w:rsidRDefault="00000000">
            <w:pPr>
              <w:jc w:val="center"/>
            </w:pPr>
            <w:r>
              <w:rPr>
                <w:b/>
                <w:color w:val="FFFFFF"/>
                <w:sz w:val="56"/>
              </w:rPr>
              <w:lastRenderedPageBreak/>
              <w:t>02</w:t>
            </w:r>
          </w:p>
        </w:tc>
        <w:tc>
          <w:tcPr>
            <w:tcW w:w="8064" w:type="dxa"/>
            <w:shd w:val="clear" w:color="auto" w:fill="243B5A"/>
            <w:vAlign w:val="center"/>
          </w:tcPr>
          <w:p w14:paraId="6855248B" w14:textId="77777777" w:rsidR="008407B8" w:rsidRDefault="00000000">
            <w:r>
              <w:rPr>
                <w:b/>
                <w:color w:val="FFFFFF"/>
                <w:sz w:val="28"/>
              </w:rPr>
              <w:t>Modelo Educativo y Vida Estudiantil</w:t>
            </w:r>
          </w:p>
          <w:p w14:paraId="2567CA0E" w14:textId="77777777" w:rsidR="008407B8" w:rsidRDefault="00000000">
            <w:r>
              <w:rPr>
                <w:color w:val="E6E6E6"/>
              </w:rPr>
              <w:t>Innovación, inclusión y excelencia con formación integral</w:t>
            </w:r>
          </w:p>
        </w:tc>
      </w:tr>
      <w:tr w:rsidR="008407B8" w14:paraId="11B2C570" w14:textId="77777777">
        <w:trPr>
          <w:jc w:val="center"/>
        </w:trPr>
        <w:tc>
          <w:tcPr>
            <w:tcW w:w="9632" w:type="dxa"/>
            <w:gridSpan w:val="2"/>
            <w:shd w:val="clear" w:color="auto" w:fill="C9A227"/>
          </w:tcPr>
          <w:p w14:paraId="5AFC0759" w14:textId="77777777" w:rsidR="008407B8" w:rsidRDefault="00000000">
            <w:r>
              <w:t xml:space="preserve"> </w:t>
            </w:r>
          </w:p>
        </w:tc>
      </w:tr>
    </w:tbl>
    <w:p w14:paraId="124D26F1" w14:textId="77777777" w:rsidR="008407B8" w:rsidRDefault="008407B8"/>
    <w:tbl>
      <w:tblPr>
        <w:tblW w:w="0" w:type="auto"/>
        <w:jc w:val="center"/>
        <w:tblLook w:val="04A0" w:firstRow="1" w:lastRow="0" w:firstColumn="1" w:lastColumn="0" w:noHBand="0" w:noVBand="1"/>
      </w:tblPr>
      <w:tblGrid>
        <w:gridCol w:w="1008"/>
        <w:gridCol w:w="8496"/>
      </w:tblGrid>
      <w:tr w:rsidR="008407B8" w14:paraId="23E95AEC" w14:textId="77777777">
        <w:trPr>
          <w:jc w:val="center"/>
        </w:trPr>
        <w:tc>
          <w:tcPr>
            <w:tcW w:w="1008" w:type="dxa"/>
            <w:shd w:val="clear" w:color="auto" w:fill="F3F5F7"/>
            <w:vAlign w:val="center"/>
          </w:tcPr>
          <w:p w14:paraId="34DBA971" w14:textId="77777777" w:rsidR="008407B8" w:rsidRDefault="00000000">
            <w:pPr>
              <w:jc w:val="center"/>
            </w:pPr>
            <w:r>
              <w:rPr>
                <w:b/>
                <w:color w:val="243B5A"/>
                <w:sz w:val="36"/>
              </w:rPr>
              <w:t>🧩</w:t>
            </w:r>
          </w:p>
        </w:tc>
        <w:tc>
          <w:tcPr>
            <w:tcW w:w="8496" w:type="dxa"/>
            <w:shd w:val="clear" w:color="auto" w:fill="F3F5F7"/>
          </w:tcPr>
          <w:p w14:paraId="6A002F3C" w14:textId="77777777" w:rsidR="008407B8" w:rsidRDefault="00000000">
            <w:r>
              <w:rPr>
                <w:b/>
                <w:color w:val="243B5A"/>
                <w:sz w:val="24"/>
              </w:rPr>
              <w:t>Ejes del modelo educativo</w:t>
            </w:r>
          </w:p>
          <w:p w14:paraId="2421132D" w14:textId="77777777" w:rsidR="008407B8" w:rsidRDefault="00000000">
            <w:r>
              <w:rPr>
                <w:color w:val="222222"/>
              </w:rPr>
              <w:t>El modelo educativo integra tres ejes de gestión: Innovación, Inclusión y Excelencia Académica, con evaluación formativa, acompañamiento docente, apoyos diferenciados y cultura de altas expectativas con soporte socioemocional.</w:t>
            </w:r>
          </w:p>
        </w:tc>
      </w:tr>
    </w:tbl>
    <w:p w14:paraId="4A51E4B4" w14:textId="77777777" w:rsidR="008407B8" w:rsidRDefault="008407B8"/>
    <w:tbl>
      <w:tblPr>
        <w:tblW w:w="0" w:type="auto"/>
        <w:jc w:val="center"/>
        <w:tblLook w:val="04A0" w:firstRow="1" w:lastRow="0" w:firstColumn="1" w:lastColumn="0" w:noHBand="0" w:noVBand="1"/>
      </w:tblPr>
      <w:tblGrid>
        <w:gridCol w:w="1008"/>
        <w:gridCol w:w="8496"/>
      </w:tblGrid>
      <w:tr w:rsidR="008407B8" w14:paraId="573775B9" w14:textId="77777777">
        <w:trPr>
          <w:jc w:val="center"/>
        </w:trPr>
        <w:tc>
          <w:tcPr>
            <w:tcW w:w="1008" w:type="dxa"/>
            <w:shd w:val="clear" w:color="auto" w:fill="F3F5F7"/>
            <w:vAlign w:val="center"/>
          </w:tcPr>
          <w:p w14:paraId="42BFA67B" w14:textId="77777777" w:rsidR="008407B8" w:rsidRDefault="00000000">
            <w:pPr>
              <w:jc w:val="center"/>
            </w:pPr>
            <w:r>
              <w:rPr>
                <w:b/>
                <w:color w:val="243B5A"/>
                <w:sz w:val="36"/>
              </w:rPr>
              <w:t>⛪</w:t>
            </w:r>
          </w:p>
        </w:tc>
        <w:tc>
          <w:tcPr>
            <w:tcW w:w="8496" w:type="dxa"/>
            <w:shd w:val="clear" w:color="auto" w:fill="F3F5F7"/>
          </w:tcPr>
          <w:p w14:paraId="4D629566" w14:textId="77777777" w:rsidR="008407B8" w:rsidRDefault="00000000">
            <w:r>
              <w:rPr>
                <w:b/>
                <w:color w:val="243B5A"/>
                <w:sz w:val="24"/>
              </w:rPr>
              <w:t>Movimientos Pastorales por etapas</w:t>
            </w:r>
          </w:p>
          <w:p w14:paraId="5A0A464A" w14:textId="77777777" w:rsidR="008407B8" w:rsidRDefault="00000000">
            <w:r>
              <w:rPr>
                <w:color w:val="222222"/>
              </w:rPr>
              <w:t>La vida pastoral se organiza en movimientos por etapa, con propósitos formativos claros y acompañamiento sistemático:</w:t>
            </w:r>
          </w:p>
        </w:tc>
      </w:tr>
    </w:tbl>
    <w:p w14:paraId="05AC292E" w14:textId="77777777" w:rsidR="008407B8" w:rsidRDefault="008407B8"/>
    <w:tbl>
      <w:tblPr>
        <w:tblStyle w:val="Tablaconcuadrcula"/>
        <w:tblW w:w="0" w:type="auto"/>
        <w:jc w:val="center"/>
        <w:tblLook w:val="04A0" w:firstRow="1" w:lastRow="0" w:firstColumn="1" w:lastColumn="0" w:noHBand="0" w:noVBand="1"/>
      </w:tblPr>
      <w:tblGrid>
        <w:gridCol w:w="2404"/>
        <w:gridCol w:w="2405"/>
        <w:gridCol w:w="2406"/>
        <w:gridCol w:w="2407"/>
      </w:tblGrid>
      <w:tr w:rsidR="008407B8" w14:paraId="6936C778" w14:textId="77777777">
        <w:trPr>
          <w:jc w:val="center"/>
        </w:trPr>
        <w:tc>
          <w:tcPr>
            <w:tcW w:w="2408" w:type="dxa"/>
            <w:shd w:val="clear" w:color="auto" w:fill="243B5A"/>
          </w:tcPr>
          <w:p w14:paraId="38B47D90" w14:textId="77777777" w:rsidR="008407B8" w:rsidRDefault="00000000">
            <w:r>
              <w:rPr>
                <w:b/>
                <w:color w:val="FFFFFF"/>
              </w:rPr>
              <w:t>Movimiento</w:t>
            </w:r>
          </w:p>
        </w:tc>
        <w:tc>
          <w:tcPr>
            <w:tcW w:w="2408" w:type="dxa"/>
            <w:shd w:val="clear" w:color="auto" w:fill="243B5A"/>
          </w:tcPr>
          <w:p w14:paraId="7F41CB76" w14:textId="77777777" w:rsidR="008407B8" w:rsidRDefault="00000000">
            <w:r>
              <w:rPr>
                <w:b/>
                <w:color w:val="FFFFFF"/>
              </w:rPr>
              <w:t>Cobertura</w:t>
            </w:r>
          </w:p>
        </w:tc>
        <w:tc>
          <w:tcPr>
            <w:tcW w:w="2408" w:type="dxa"/>
            <w:shd w:val="clear" w:color="auto" w:fill="243B5A"/>
          </w:tcPr>
          <w:p w14:paraId="1A275904" w14:textId="77777777" w:rsidR="008407B8" w:rsidRDefault="00000000">
            <w:r>
              <w:rPr>
                <w:b/>
                <w:color w:val="FFFFFF"/>
              </w:rPr>
              <w:t>Propósito formativo</w:t>
            </w:r>
          </w:p>
        </w:tc>
        <w:tc>
          <w:tcPr>
            <w:tcW w:w="2408" w:type="dxa"/>
            <w:shd w:val="clear" w:color="auto" w:fill="243B5A"/>
          </w:tcPr>
          <w:p w14:paraId="728EBEB3" w14:textId="77777777" w:rsidR="008407B8" w:rsidRDefault="00000000">
            <w:r>
              <w:rPr>
                <w:b/>
                <w:color w:val="FFFFFF"/>
              </w:rPr>
              <w:t>Acompañamiento</w:t>
            </w:r>
          </w:p>
        </w:tc>
      </w:tr>
      <w:tr w:rsidR="008407B8" w14:paraId="10E6F652" w14:textId="77777777">
        <w:trPr>
          <w:jc w:val="center"/>
        </w:trPr>
        <w:tc>
          <w:tcPr>
            <w:tcW w:w="2408" w:type="dxa"/>
            <w:shd w:val="clear" w:color="auto" w:fill="FBFBFC"/>
          </w:tcPr>
          <w:p w14:paraId="758F3CE7" w14:textId="77777777" w:rsidR="008407B8" w:rsidRDefault="00000000">
            <w:r>
              <w:rPr>
                <w:color w:val="222222"/>
              </w:rPr>
              <w:t>TIEMAR</w:t>
            </w:r>
          </w:p>
        </w:tc>
        <w:tc>
          <w:tcPr>
            <w:tcW w:w="2408" w:type="dxa"/>
            <w:shd w:val="clear" w:color="auto" w:fill="FBFBFC"/>
          </w:tcPr>
          <w:p w14:paraId="132062DB" w14:textId="77777777" w:rsidR="008407B8" w:rsidRDefault="00000000">
            <w:r>
              <w:rPr>
                <w:color w:val="222222"/>
              </w:rPr>
              <w:t>2do a 4to EGB</w:t>
            </w:r>
          </w:p>
        </w:tc>
        <w:tc>
          <w:tcPr>
            <w:tcW w:w="2408" w:type="dxa"/>
            <w:shd w:val="clear" w:color="auto" w:fill="FBFBFC"/>
          </w:tcPr>
          <w:p w14:paraId="5C7D25A0" w14:textId="77777777" w:rsidR="008407B8" w:rsidRDefault="00000000">
            <w:r>
              <w:rPr>
                <w:color w:val="222222"/>
              </w:rPr>
              <w:t>Iniciación al espíritu marista: identidad, cuidado mutuo, hábitos de convivencia.</w:t>
            </w:r>
          </w:p>
        </w:tc>
        <w:tc>
          <w:tcPr>
            <w:tcW w:w="2408" w:type="dxa"/>
            <w:shd w:val="clear" w:color="auto" w:fill="FBFBFC"/>
          </w:tcPr>
          <w:p w14:paraId="4819628F" w14:textId="77777777" w:rsidR="008407B8" w:rsidRDefault="00000000">
            <w:r>
              <w:rPr>
                <w:color w:val="222222"/>
              </w:rPr>
              <w:t>Docentes tutores, pastoral, coordinación académica.</w:t>
            </w:r>
          </w:p>
        </w:tc>
      </w:tr>
      <w:tr w:rsidR="008407B8" w14:paraId="4FB0B11E" w14:textId="77777777">
        <w:trPr>
          <w:jc w:val="center"/>
        </w:trPr>
        <w:tc>
          <w:tcPr>
            <w:tcW w:w="2408" w:type="dxa"/>
            <w:shd w:val="clear" w:color="auto" w:fill="FFFFFF"/>
          </w:tcPr>
          <w:p w14:paraId="078470A0" w14:textId="77777777" w:rsidR="008407B8" w:rsidRDefault="00000000">
            <w:r>
              <w:rPr>
                <w:color w:val="222222"/>
              </w:rPr>
              <w:t>SEMAR</w:t>
            </w:r>
          </w:p>
        </w:tc>
        <w:tc>
          <w:tcPr>
            <w:tcW w:w="2408" w:type="dxa"/>
            <w:shd w:val="clear" w:color="auto" w:fill="FFFFFF"/>
          </w:tcPr>
          <w:p w14:paraId="7EE14C83" w14:textId="77777777" w:rsidR="008407B8" w:rsidRDefault="00000000">
            <w:r>
              <w:rPr>
                <w:color w:val="222222"/>
              </w:rPr>
              <w:t>5to a 7mo EGB</w:t>
            </w:r>
          </w:p>
        </w:tc>
        <w:tc>
          <w:tcPr>
            <w:tcW w:w="2408" w:type="dxa"/>
            <w:shd w:val="clear" w:color="auto" w:fill="FFFFFF"/>
          </w:tcPr>
          <w:p w14:paraId="24414C1B" w14:textId="77777777" w:rsidR="008407B8" w:rsidRDefault="00000000">
            <w:r>
              <w:rPr>
                <w:color w:val="222222"/>
              </w:rPr>
              <w:t>Consolidación de valores: servicio, liderazgo sencillo, disciplina personal y comunitaria.</w:t>
            </w:r>
          </w:p>
        </w:tc>
        <w:tc>
          <w:tcPr>
            <w:tcW w:w="2408" w:type="dxa"/>
            <w:shd w:val="clear" w:color="auto" w:fill="FFFFFF"/>
          </w:tcPr>
          <w:p w14:paraId="78116DDD" w14:textId="77777777" w:rsidR="008407B8" w:rsidRDefault="00000000">
            <w:r>
              <w:rPr>
                <w:color w:val="222222"/>
              </w:rPr>
              <w:t>Tutoría, pastoral, acompañamiento socioemocional.</w:t>
            </w:r>
          </w:p>
        </w:tc>
      </w:tr>
      <w:tr w:rsidR="008407B8" w14:paraId="61F9176B" w14:textId="77777777">
        <w:trPr>
          <w:jc w:val="center"/>
        </w:trPr>
        <w:tc>
          <w:tcPr>
            <w:tcW w:w="2408" w:type="dxa"/>
            <w:shd w:val="clear" w:color="auto" w:fill="FBFBFC"/>
          </w:tcPr>
          <w:p w14:paraId="4887B339" w14:textId="77777777" w:rsidR="008407B8" w:rsidRDefault="00000000">
            <w:r>
              <w:rPr>
                <w:color w:val="222222"/>
              </w:rPr>
              <w:t>GAMA</w:t>
            </w:r>
          </w:p>
        </w:tc>
        <w:tc>
          <w:tcPr>
            <w:tcW w:w="2408" w:type="dxa"/>
            <w:shd w:val="clear" w:color="auto" w:fill="FBFBFC"/>
          </w:tcPr>
          <w:p w14:paraId="18F37E0E" w14:textId="77777777" w:rsidR="008407B8" w:rsidRDefault="00000000">
            <w:r>
              <w:rPr>
                <w:color w:val="222222"/>
              </w:rPr>
              <w:t>8vo a 10mo EGB</w:t>
            </w:r>
          </w:p>
        </w:tc>
        <w:tc>
          <w:tcPr>
            <w:tcW w:w="2408" w:type="dxa"/>
            <w:shd w:val="clear" w:color="auto" w:fill="FBFBFC"/>
          </w:tcPr>
          <w:p w14:paraId="5037AB96" w14:textId="77777777" w:rsidR="008407B8" w:rsidRDefault="00000000">
            <w:r>
              <w:rPr>
                <w:color w:val="222222"/>
              </w:rPr>
              <w:t>Maduración del proyecto de vida: participación, responsabilidad y criterio ético.</w:t>
            </w:r>
          </w:p>
        </w:tc>
        <w:tc>
          <w:tcPr>
            <w:tcW w:w="2408" w:type="dxa"/>
            <w:shd w:val="clear" w:color="auto" w:fill="FBFBFC"/>
          </w:tcPr>
          <w:p w14:paraId="02BE84CB" w14:textId="77777777" w:rsidR="008407B8" w:rsidRDefault="00000000">
            <w:r>
              <w:rPr>
                <w:color w:val="222222"/>
              </w:rPr>
              <w:t>Inspección y tutoría, pastoral, orientación estudiantil.</w:t>
            </w:r>
          </w:p>
        </w:tc>
      </w:tr>
      <w:tr w:rsidR="008407B8" w14:paraId="4FB16DC9" w14:textId="77777777">
        <w:trPr>
          <w:jc w:val="center"/>
        </w:trPr>
        <w:tc>
          <w:tcPr>
            <w:tcW w:w="2408" w:type="dxa"/>
            <w:shd w:val="clear" w:color="auto" w:fill="FFFFFF"/>
          </w:tcPr>
          <w:p w14:paraId="2C043C24" w14:textId="77777777" w:rsidR="008407B8" w:rsidRDefault="00000000">
            <w:r>
              <w:rPr>
                <w:color w:val="222222"/>
              </w:rPr>
              <w:t>REMAR</w:t>
            </w:r>
          </w:p>
        </w:tc>
        <w:tc>
          <w:tcPr>
            <w:tcW w:w="2408" w:type="dxa"/>
            <w:shd w:val="clear" w:color="auto" w:fill="FFFFFF"/>
          </w:tcPr>
          <w:p w14:paraId="3983FA82" w14:textId="77777777" w:rsidR="008407B8" w:rsidRDefault="00000000">
            <w:r>
              <w:rPr>
                <w:color w:val="222222"/>
              </w:rPr>
              <w:t>Bachillerato (BGU)</w:t>
            </w:r>
          </w:p>
        </w:tc>
        <w:tc>
          <w:tcPr>
            <w:tcW w:w="2408" w:type="dxa"/>
            <w:shd w:val="clear" w:color="auto" w:fill="FFFFFF"/>
          </w:tcPr>
          <w:p w14:paraId="172E275E" w14:textId="77777777" w:rsidR="008407B8" w:rsidRDefault="00000000">
            <w:r>
              <w:rPr>
                <w:color w:val="222222"/>
              </w:rPr>
              <w:t>Proyección: compromiso social, discernimiento vocacional, ciudadanía responsable.</w:t>
            </w:r>
          </w:p>
        </w:tc>
        <w:tc>
          <w:tcPr>
            <w:tcW w:w="2408" w:type="dxa"/>
            <w:shd w:val="clear" w:color="auto" w:fill="FFFFFF"/>
          </w:tcPr>
          <w:p w14:paraId="60A90854" w14:textId="77777777" w:rsidR="008407B8" w:rsidRDefault="00000000">
            <w:r>
              <w:rPr>
                <w:color w:val="222222"/>
              </w:rPr>
              <w:t>Coordinación de bachillerato, pastoral, orientación vocacional.</w:t>
            </w:r>
          </w:p>
        </w:tc>
      </w:tr>
    </w:tbl>
    <w:p w14:paraId="64CD87BE" w14:textId="77777777" w:rsidR="008407B8" w:rsidRDefault="008407B8"/>
    <w:tbl>
      <w:tblPr>
        <w:tblW w:w="0" w:type="auto"/>
        <w:jc w:val="center"/>
        <w:tblLook w:val="04A0" w:firstRow="1" w:lastRow="0" w:firstColumn="1" w:lastColumn="0" w:noHBand="0" w:noVBand="1"/>
      </w:tblPr>
      <w:tblGrid>
        <w:gridCol w:w="1008"/>
        <w:gridCol w:w="8496"/>
      </w:tblGrid>
      <w:tr w:rsidR="008407B8" w14:paraId="6C86547E" w14:textId="77777777">
        <w:trPr>
          <w:jc w:val="center"/>
        </w:trPr>
        <w:tc>
          <w:tcPr>
            <w:tcW w:w="1008" w:type="dxa"/>
            <w:shd w:val="clear" w:color="auto" w:fill="F3F5F7"/>
            <w:vAlign w:val="center"/>
          </w:tcPr>
          <w:p w14:paraId="3BDD680E" w14:textId="77777777" w:rsidR="008407B8" w:rsidRDefault="00000000">
            <w:pPr>
              <w:jc w:val="center"/>
            </w:pPr>
            <w:r>
              <w:rPr>
                <w:b/>
                <w:color w:val="243B5A"/>
                <w:sz w:val="36"/>
              </w:rPr>
              <w:lastRenderedPageBreak/>
              <w:t>🎭</w:t>
            </w:r>
          </w:p>
        </w:tc>
        <w:tc>
          <w:tcPr>
            <w:tcW w:w="8496" w:type="dxa"/>
            <w:shd w:val="clear" w:color="auto" w:fill="F3F5F7"/>
          </w:tcPr>
          <w:p w14:paraId="37EDA75F" w14:textId="77777777" w:rsidR="008407B8" w:rsidRDefault="00000000">
            <w:r>
              <w:rPr>
                <w:b/>
                <w:color w:val="243B5A"/>
                <w:sz w:val="24"/>
              </w:rPr>
              <w:t>Formación integral: deporte y arte como ejes transversales</w:t>
            </w:r>
          </w:p>
          <w:p w14:paraId="333AA986" w14:textId="77777777" w:rsidR="008407B8" w:rsidRDefault="00000000">
            <w:r>
              <w:rPr>
                <w:color w:val="222222"/>
              </w:rPr>
              <w:t>La formación integral incorpora deporte y arte como ejes transversales con planificación y seguimiento. En deporte se prioriza fútbol y baloncesto con disciplina, salud y juego limpio. En arte se desarrollan música, danza y teatro como vías de expresión, creatividad y habilidades comunicativas.</w:t>
            </w:r>
          </w:p>
        </w:tc>
      </w:tr>
    </w:tbl>
    <w:p w14:paraId="7864454E" w14:textId="77777777" w:rsidR="008407B8" w:rsidRDefault="008407B8"/>
    <w:p w14:paraId="39C3B1F4" w14:textId="77777777" w:rsidR="008407B8" w:rsidRDefault="00000000">
      <w:r>
        <w:br w:type="page"/>
      </w:r>
    </w:p>
    <w:tbl>
      <w:tblPr>
        <w:tblW w:w="0" w:type="auto"/>
        <w:jc w:val="center"/>
        <w:tblLook w:val="04A0" w:firstRow="1" w:lastRow="0" w:firstColumn="1" w:lastColumn="0" w:noHBand="0" w:noVBand="1"/>
      </w:tblPr>
      <w:tblGrid>
        <w:gridCol w:w="1440"/>
        <w:gridCol w:w="8192"/>
      </w:tblGrid>
      <w:tr w:rsidR="008407B8" w14:paraId="12E129D1" w14:textId="77777777">
        <w:trPr>
          <w:jc w:val="center"/>
        </w:trPr>
        <w:tc>
          <w:tcPr>
            <w:tcW w:w="1440" w:type="dxa"/>
            <w:shd w:val="clear" w:color="auto" w:fill="243B5A"/>
            <w:vAlign w:val="center"/>
          </w:tcPr>
          <w:p w14:paraId="238EB7C8" w14:textId="77777777" w:rsidR="008407B8" w:rsidRDefault="00000000">
            <w:pPr>
              <w:jc w:val="center"/>
            </w:pPr>
            <w:r>
              <w:rPr>
                <w:b/>
                <w:color w:val="FFFFFF"/>
                <w:sz w:val="56"/>
              </w:rPr>
              <w:lastRenderedPageBreak/>
              <w:t>03</w:t>
            </w:r>
          </w:p>
        </w:tc>
        <w:tc>
          <w:tcPr>
            <w:tcW w:w="8064" w:type="dxa"/>
            <w:shd w:val="clear" w:color="auto" w:fill="243B5A"/>
            <w:vAlign w:val="center"/>
          </w:tcPr>
          <w:p w14:paraId="352D3AD7" w14:textId="77777777" w:rsidR="008407B8" w:rsidRDefault="00000000">
            <w:r>
              <w:rPr>
                <w:b/>
                <w:color w:val="FFFFFF"/>
                <w:sz w:val="28"/>
              </w:rPr>
              <w:t>Marco Jurídico y Administrativo (Actualización 2025-2026)</w:t>
            </w:r>
          </w:p>
          <w:p w14:paraId="23371303" w14:textId="77777777" w:rsidR="008407B8" w:rsidRDefault="00000000">
            <w:r>
              <w:rPr>
                <w:color w:val="E6E6E6"/>
              </w:rPr>
              <w:t>Cumplimiento normativo, transparencia de costos y enfoque de becas</w:t>
            </w:r>
          </w:p>
        </w:tc>
      </w:tr>
      <w:tr w:rsidR="008407B8" w14:paraId="296D3181" w14:textId="77777777">
        <w:trPr>
          <w:jc w:val="center"/>
        </w:trPr>
        <w:tc>
          <w:tcPr>
            <w:tcW w:w="9632" w:type="dxa"/>
            <w:gridSpan w:val="2"/>
            <w:shd w:val="clear" w:color="auto" w:fill="C9A227"/>
          </w:tcPr>
          <w:p w14:paraId="630DF497" w14:textId="77777777" w:rsidR="008407B8" w:rsidRDefault="00000000">
            <w:r>
              <w:t xml:space="preserve"> </w:t>
            </w:r>
          </w:p>
        </w:tc>
      </w:tr>
    </w:tbl>
    <w:p w14:paraId="5D10E3E0" w14:textId="77777777" w:rsidR="008407B8" w:rsidRDefault="008407B8"/>
    <w:tbl>
      <w:tblPr>
        <w:tblW w:w="0" w:type="auto"/>
        <w:jc w:val="center"/>
        <w:tblLook w:val="04A0" w:firstRow="1" w:lastRow="0" w:firstColumn="1" w:lastColumn="0" w:noHBand="0" w:noVBand="1"/>
      </w:tblPr>
      <w:tblGrid>
        <w:gridCol w:w="1008"/>
        <w:gridCol w:w="8496"/>
      </w:tblGrid>
      <w:tr w:rsidR="008407B8" w14:paraId="652E912E" w14:textId="77777777">
        <w:trPr>
          <w:jc w:val="center"/>
        </w:trPr>
        <w:tc>
          <w:tcPr>
            <w:tcW w:w="1008" w:type="dxa"/>
            <w:shd w:val="clear" w:color="auto" w:fill="F3F5F7"/>
            <w:vAlign w:val="center"/>
          </w:tcPr>
          <w:p w14:paraId="6C02E330" w14:textId="77777777" w:rsidR="008407B8" w:rsidRDefault="00000000">
            <w:pPr>
              <w:jc w:val="center"/>
            </w:pPr>
            <w:r>
              <w:rPr>
                <w:b/>
                <w:color w:val="243B5A"/>
                <w:sz w:val="36"/>
              </w:rPr>
              <w:t>⚖️</w:t>
            </w:r>
          </w:p>
        </w:tc>
        <w:tc>
          <w:tcPr>
            <w:tcW w:w="8496" w:type="dxa"/>
            <w:shd w:val="clear" w:color="auto" w:fill="F3F5F7"/>
          </w:tcPr>
          <w:p w14:paraId="45D287F9" w14:textId="77777777" w:rsidR="008407B8" w:rsidRDefault="00000000">
            <w:r>
              <w:rPr>
                <w:b/>
                <w:color w:val="243B5A"/>
                <w:sz w:val="24"/>
              </w:rPr>
              <w:t>Base legal aplicable</w:t>
            </w:r>
          </w:p>
          <w:p w14:paraId="38B725B6" w14:textId="77777777" w:rsidR="008407B8" w:rsidRDefault="00000000">
            <w:r>
              <w:rPr>
                <w:color w:val="222222"/>
              </w:rPr>
              <w:t>La gestión se enmarca en la Constitución de la República del Ecuador (Art. 26 y 27), la Ley Orgánica de Educación Intercultural (LOEI) (Art. 54 y 57) y el Acuerdo Ministerial Nro. MINEDUC-MINEDUC-2023-00001-A, relativo a la normativa para fijación de costos en instituciones particulares y fiscomisionales.</w:t>
            </w:r>
          </w:p>
        </w:tc>
      </w:tr>
    </w:tbl>
    <w:p w14:paraId="4684784A" w14:textId="77777777" w:rsidR="008407B8" w:rsidRDefault="008407B8"/>
    <w:tbl>
      <w:tblPr>
        <w:tblW w:w="0" w:type="auto"/>
        <w:jc w:val="center"/>
        <w:tblLook w:val="04A0" w:firstRow="1" w:lastRow="0" w:firstColumn="1" w:lastColumn="0" w:noHBand="0" w:noVBand="1"/>
      </w:tblPr>
      <w:tblGrid>
        <w:gridCol w:w="1008"/>
        <w:gridCol w:w="8496"/>
      </w:tblGrid>
      <w:tr w:rsidR="008407B8" w14:paraId="50A4DC8A" w14:textId="77777777">
        <w:trPr>
          <w:jc w:val="center"/>
        </w:trPr>
        <w:tc>
          <w:tcPr>
            <w:tcW w:w="1008" w:type="dxa"/>
            <w:shd w:val="clear" w:color="auto" w:fill="F3F5F7"/>
            <w:vAlign w:val="center"/>
          </w:tcPr>
          <w:p w14:paraId="63077BE8" w14:textId="77777777" w:rsidR="008407B8" w:rsidRDefault="00000000">
            <w:pPr>
              <w:jc w:val="center"/>
            </w:pPr>
            <w:r>
              <w:rPr>
                <w:b/>
                <w:color w:val="243B5A"/>
                <w:sz w:val="36"/>
              </w:rPr>
              <w:t>🧾</w:t>
            </w:r>
          </w:p>
        </w:tc>
        <w:tc>
          <w:tcPr>
            <w:tcW w:w="8496" w:type="dxa"/>
            <w:shd w:val="clear" w:color="auto" w:fill="F3F5F7"/>
          </w:tcPr>
          <w:p w14:paraId="312968FF" w14:textId="77777777" w:rsidR="008407B8" w:rsidRDefault="00000000">
            <w:r>
              <w:rPr>
                <w:b/>
                <w:color w:val="243B5A"/>
                <w:sz w:val="24"/>
              </w:rPr>
              <w:t>Gestión de costos y resoluciones distritales</w:t>
            </w:r>
          </w:p>
          <w:p w14:paraId="1CADBFD4" w14:textId="77777777" w:rsidR="008407B8" w:rsidRDefault="00000000">
            <w:r>
              <w:rPr>
                <w:color w:val="222222"/>
              </w:rPr>
              <w:t>Cada obra educativa opera bajo resoluciones de costos aprobadas por su respectivo Distrito Educativo local, conforme al procedimiento previsto por la autoridad educativa. La política de costos se gestiona con criterios de transparencia, trazabilidad y comunicación clara a la comunidad educativa.</w:t>
            </w:r>
          </w:p>
        </w:tc>
      </w:tr>
    </w:tbl>
    <w:p w14:paraId="5FAD80A2" w14:textId="77777777" w:rsidR="008407B8" w:rsidRDefault="008407B8"/>
    <w:tbl>
      <w:tblPr>
        <w:tblW w:w="0" w:type="auto"/>
        <w:jc w:val="center"/>
        <w:tblLook w:val="04A0" w:firstRow="1" w:lastRow="0" w:firstColumn="1" w:lastColumn="0" w:noHBand="0" w:noVBand="1"/>
      </w:tblPr>
      <w:tblGrid>
        <w:gridCol w:w="1008"/>
        <w:gridCol w:w="8496"/>
      </w:tblGrid>
      <w:tr w:rsidR="008407B8" w14:paraId="3A675958" w14:textId="77777777">
        <w:trPr>
          <w:jc w:val="center"/>
        </w:trPr>
        <w:tc>
          <w:tcPr>
            <w:tcW w:w="1008" w:type="dxa"/>
            <w:shd w:val="clear" w:color="auto" w:fill="F3F5F7"/>
            <w:vAlign w:val="center"/>
          </w:tcPr>
          <w:p w14:paraId="1E2CB346" w14:textId="77777777" w:rsidR="008407B8" w:rsidRDefault="00000000">
            <w:pPr>
              <w:jc w:val="center"/>
            </w:pPr>
            <w:r>
              <w:rPr>
                <w:b/>
                <w:color w:val="243B5A"/>
                <w:sz w:val="36"/>
              </w:rPr>
              <w:t>📌</w:t>
            </w:r>
          </w:p>
        </w:tc>
        <w:tc>
          <w:tcPr>
            <w:tcW w:w="8496" w:type="dxa"/>
            <w:shd w:val="clear" w:color="auto" w:fill="F3F5F7"/>
          </w:tcPr>
          <w:p w14:paraId="33E657E7" w14:textId="77777777" w:rsidR="008407B8" w:rsidRDefault="00000000">
            <w:r>
              <w:rPr>
                <w:b/>
                <w:color w:val="243B5A"/>
                <w:sz w:val="24"/>
              </w:rPr>
              <w:t>Valores de referencia: Sede Quito (Resolución Nro. MINEDUC-SEDMQ-2023-0142-R)</w:t>
            </w:r>
          </w:p>
          <w:p w14:paraId="26C6F9BC" w14:textId="77777777" w:rsidR="008407B8" w:rsidRDefault="00000000">
            <w:r>
              <w:rPr>
                <w:color w:val="222222"/>
              </w:rPr>
              <w:t>Como estándar de transparencia, se presenta el cuadro de referencia para la sede Quito:</w:t>
            </w:r>
          </w:p>
        </w:tc>
      </w:tr>
    </w:tbl>
    <w:p w14:paraId="29DB59B7" w14:textId="77777777" w:rsidR="008407B8" w:rsidRDefault="008407B8"/>
    <w:p w14:paraId="5F0D85AA" w14:textId="77777777" w:rsidR="008407B8" w:rsidRDefault="008407B8"/>
    <w:tbl>
      <w:tblPr>
        <w:tblStyle w:val="Tablaconcuadrcula"/>
        <w:tblW w:w="0" w:type="auto"/>
        <w:jc w:val="center"/>
        <w:tblLook w:val="04A0" w:firstRow="1" w:lastRow="0" w:firstColumn="1" w:lastColumn="0" w:noHBand="0" w:noVBand="1"/>
      </w:tblPr>
      <w:tblGrid>
        <w:gridCol w:w="3208"/>
        <w:gridCol w:w="3207"/>
        <w:gridCol w:w="3207"/>
      </w:tblGrid>
      <w:tr w:rsidR="008407B8" w14:paraId="7B9AF901" w14:textId="77777777">
        <w:trPr>
          <w:jc w:val="center"/>
        </w:trPr>
        <w:tc>
          <w:tcPr>
            <w:tcW w:w="3211" w:type="dxa"/>
            <w:shd w:val="clear" w:color="auto" w:fill="243B5A"/>
          </w:tcPr>
          <w:p w14:paraId="24CDAFD7" w14:textId="77777777" w:rsidR="008407B8" w:rsidRDefault="00000000">
            <w:r>
              <w:rPr>
                <w:b/>
                <w:color w:val="FFFFFF"/>
              </w:rPr>
              <w:t>Nivel/Etapa</w:t>
            </w:r>
          </w:p>
        </w:tc>
        <w:tc>
          <w:tcPr>
            <w:tcW w:w="3211" w:type="dxa"/>
            <w:shd w:val="clear" w:color="auto" w:fill="243B5A"/>
          </w:tcPr>
          <w:p w14:paraId="01DF7FDC" w14:textId="77777777" w:rsidR="008407B8" w:rsidRDefault="00000000">
            <w:r>
              <w:rPr>
                <w:b/>
                <w:color w:val="FFFFFF"/>
              </w:rPr>
              <w:t>Matrícula</w:t>
            </w:r>
          </w:p>
        </w:tc>
        <w:tc>
          <w:tcPr>
            <w:tcW w:w="3211" w:type="dxa"/>
            <w:shd w:val="clear" w:color="auto" w:fill="243B5A"/>
          </w:tcPr>
          <w:p w14:paraId="7638C999" w14:textId="77777777" w:rsidR="008407B8" w:rsidRDefault="00000000">
            <w:r>
              <w:rPr>
                <w:b/>
                <w:color w:val="FFFFFF"/>
              </w:rPr>
              <w:t>Pensión</w:t>
            </w:r>
          </w:p>
        </w:tc>
      </w:tr>
      <w:tr w:rsidR="008407B8" w14:paraId="036036C6" w14:textId="77777777">
        <w:trPr>
          <w:jc w:val="center"/>
        </w:trPr>
        <w:tc>
          <w:tcPr>
            <w:tcW w:w="3211" w:type="dxa"/>
            <w:shd w:val="clear" w:color="auto" w:fill="FBFBFC"/>
          </w:tcPr>
          <w:p w14:paraId="034F870A" w14:textId="77777777" w:rsidR="008407B8" w:rsidRDefault="00000000">
            <w:r>
              <w:rPr>
                <w:color w:val="222222"/>
              </w:rPr>
              <w:t>Inicial 2</w:t>
            </w:r>
          </w:p>
        </w:tc>
        <w:tc>
          <w:tcPr>
            <w:tcW w:w="3211" w:type="dxa"/>
            <w:shd w:val="clear" w:color="auto" w:fill="FBFBFC"/>
          </w:tcPr>
          <w:p w14:paraId="1CFC3EDC" w14:textId="77777777" w:rsidR="008407B8" w:rsidRDefault="00000000">
            <w:r>
              <w:rPr>
                <w:color w:val="222222"/>
              </w:rPr>
              <w:t>$105.00</w:t>
            </w:r>
          </w:p>
        </w:tc>
        <w:tc>
          <w:tcPr>
            <w:tcW w:w="3211" w:type="dxa"/>
            <w:shd w:val="clear" w:color="auto" w:fill="FBFBFC"/>
          </w:tcPr>
          <w:p w14:paraId="1404488E" w14:textId="77777777" w:rsidR="008407B8" w:rsidRDefault="00000000">
            <w:r>
              <w:rPr>
                <w:color w:val="222222"/>
              </w:rPr>
              <w:t>$168.00</w:t>
            </w:r>
          </w:p>
        </w:tc>
      </w:tr>
      <w:tr w:rsidR="008407B8" w14:paraId="4929A0CE" w14:textId="77777777">
        <w:trPr>
          <w:jc w:val="center"/>
        </w:trPr>
        <w:tc>
          <w:tcPr>
            <w:tcW w:w="3211" w:type="dxa"/>
            <w:shd w:val="clear" w:color="auto" w:fill="FFFFFF"/>
          </w:tcPr>
          <w:p w14:paraId="1D21EC79" w14:textId="77777777" w:rsidR="008407B8" w:rsidRDefault="00000000">
            <w:r>
              <w:rPr>
                <w:color w:val="222222"/>
              </w:rPr>
              <w:t>Básica Elemental y Media</w:t>
            </w:r>
          </w:p>
        </w:tc>
        <w:tc>
          <w:tcPr>
            <w:tcW w:w="3211" w:type="dxa"/>
            <w:shd w:val="clear" w:color="auto" w:fill="FFFFFF"/>
          </w:tcPr>
          <w:p w14:paraId="3979ADAE" w14:textId="77777777" w:rsidR="008407B8" w:rsidRDefault="00000000">
            <w:r>
              <w:rPr>
                <w:color w:val="222222"/>
              </w:rPr>
              <w:t>$112.50</w:t>
            </w:r>
          </w:p>
        </w:tc>
        <w:tc>
          <w:tcPr>
            <w:tcW w:w="3211" w:type="dxa"/>
            <w:shd w:val="clear" w:color="auto" w:fill="FFFFFF"/>
          </w:tcPr>
          <w:p w14:paraId="0C08D03E" w14:textId="77777777" w:rsidR="008407B8" w:rsidRDefault="00000000">
            <w:r>
              <w:rPr>
                <w:color w:val="222222"/>
              </w:rPr>
              <w:t>$180.00</w:t>
            </w:r>
          </w:p>
        </w:tc>
      </w:tr>
      <w:tr w:rsidR="008407B8" w14:paraId="53166651" w14:textId="77777777">
        <w:trPr>
          <w:jc w:val="center"/>
        </w:trPr>
        <w:tc>
          <w:tcPr>
            <w:tcW w:w="3211" w:type="dxa"/>
            <w:shd w:val="clear" w:color="auto" w:fill="FBFBFC"/>
          </w:tcPr>
          <w:p w14:paraId="5D0AE736" w14:textId="77777777" w:rsidR="008407B8" w:rsidRDefault="00000000">
            <w:r>
              <w:rPr>
                <w:color w:val="222222"/>
              </w:rPr>
              <w:t>Bachillerato (BGU)</w:t>
            </w:r>
          </w:p>
        </w:tc>
        <w:tc>
          <w:tcPr>
            <w:tcW w:w="3211" w:type="dxa"/>
            <w:shd w:val="clear" w:color="auto" w:fill="FBFBFC"/>
          </w:tcPr>
          <w:p w14:paraId="0654DD6F" w14:textId="77777777" w:rsidR="008407B8" w:rsidRDefault="00000000">
            <w:r>
              <w:rPr>
                <w:color w:val="222222"/>
              </w:rPr>
              <w:t>$121.80</w:t>
            </w:r>
          </w:p>
        </w:tc>
        <w:tc>
          <w:tcPr>
            <w:tcW w:w="3211" w:type="dxa"/>
            <w:shd w:val="clear" w:color="auto" w:fill="FBFBFC"/>
          </w:tcPr>
          <w:p w14:paraId="00BFA480" w14:textId="77777777" w:rsidR="008407B8" w:rsidRDefault="00000000">
            <w:r>
              <w:rPr>
                <w:color w:val="222222"/>
              </w:rPr>
              <w:t>$195.00</w:t>
            </w:r>
          </w:p>
        </w:tc>
      </w:tr>
    </w:tbl>
    <w:p w14:paraId="1D600486" w14:textId="77777777" w:rsidR="008407B8" w:rsidRDefault="008407B8"/>
    <w:tbl>
      <w:tblPr>
        <w:tblW w:w="0" w:type="auto"/>
        <w:jc w:val="center"/>
        <w:tblLook w:val="04A0" w:firstRow="1" w:lastRow="0" w:firstColumn="1" w:lastColumn="0" w:noHBand="0" w:noVBand="1"/>
      </w:tblPr>
      <w:tblGrid>
        <w:gridCol w:w="1008"/>
        <w:gridCol w:w="8496"/>
      </w:tblGrid>
      <w:tr w:rsidR="008407B8" w14:paraId="4ED61507" w14:textId="77777777">
        <w:trPr>
          <w:jc w:val="center"/>
        </w:trPr>
        <w:tc>
          <w:tcPr>
            <w:tcW w:w="1008" w:type="dxa"/>
            <w:shd w:val="clear" w:color="auto" w:fill="F3F5F7"/>
            <w:vAlign w:val="center"/>
          </w:tcPr>
          <w:p w14:paraId="079A587B" w14:textId="77777777" w:rsidR="008407B8" w:rsidRDefault="00000000">
            <w:pPr>
              <w:jc w:val="center"/>
            </w:pPr>
            <w:r>
              <w:rPr>
                <w:b/>
                <w:color w:val="243B5A"/>
                <w:sz w:val="36"/>
              </w:rPr>
              <w:t>🎗️</w:t>
            </w:r>
          </w:p>
        </w:tc>
        <w:tc>
          <w:tcPr>
            <w:tcW w:w="8496" w:type="dxa"/>
            <w:shd w:val="clear" w:color="auto" w:fill="F3F5F7"/>
          </w:tcPr>
          <w:p w14:paraId="47412B51" w14:textId="77777777" w:rsidR="008407B8" w:rsidRDefault="00000000">
            <w:r>
              <w:rPr>
                <w:b/>
                <w:color w:val="243B5A"/>
                <w:sz w:val="24"/>
              </w:rPr>
              <w:t>Fondo de Becas y Ayuda Económica (5% pensiones)</w:t>
            </w:r>
          </w:p>
          <w:p w14:paraId="2A27AAF4" w14:textId="77777777" w:rsidR="008407B8" w:rsidRDefault="00000000">
            <w:r>
              <w:rPr>
                <w:color w:val="222222"/>
              </w:rPr>
              <w:t xml:space="preserve">En cumplimiento del Art. 54 de la LOEI, se ratifica la asignación obligatoria del cinco por ciento (5%) de los ingresos recaudados por pensiones para el Fondo de Becas y </w:t>
            </w:r>
            <w:r>
              <w:rPr>
                <w:color w:val="222222"/>
              </w:rPr>
              <w:lastRenderedPageBreak/>
              <w:t>Ayuda Económica. Su administración debe garantizar objetividad, priorización por necesidad, control interno y trazabilidad documental.</w:t>
            </w:r>
          </w:p>
        </w:tc>
      </w:tr>
    </w:tbl>
    <w:p w14:paraId="05F184D7" w14:textId="77777777" w:rsidR="008407B8" w:rsidRDefault="008407B8"/>
    <w:tbl>
      <w:tblPr>
        <w:tblW w:w="0" w:type="auto"/>
        <w:jc w:val="center"/>
        <w:tblLook w:val="04A0" w:firstRow="1" w:lastRow="0" w:firstColumn="1" w:lastColumn="0" w:noHBand="0" w:noVBand="1"/>
      </w:tblPr>
      <w:tblGrid>
        <w:gridCol w:w="1008"/>
        <w:gridCol w:w="8496"/>
      </w:tblGrid>
      <w:tr w:rsidR="008407B8" w14:paraId="13DFA92A" w14:textId="77777777">
        <w:trPr>
          <w:jc w:val="center"/>
        </w:trPr>
        <w:tc>
          <w:tcPr>
            <w:tcW w:w="1008" w:type="dxa"/>
            <w:shd w:val="clear" w:color="auto" w:fill="F3F5F7"/>
            <w:vAlign w:val="center"/>
          </w:tcPr>
          <w:p w14:paraId="1D81D0AC" w14:textId="77777777" w:rsidR="008407B8" w:rsidRDefault="00000000">
            <w:pPr>
              <w:jc w:val="center"/>
            </w:pPr>
            <w:r>
              <w:rPr>
                <w:b/>
                <w:color w:val="243B5A"/>
                <w:sz w:val="36"/>
              </w:rPr>
              <w:t>🗓️</w:t>
            </w:r>
          </w:p>
        </w:tc>
        <w:tc>
          <w:tcPr>
            <w:tcW w:w="8496" w:type="dxa"/>
            <w:shd w:val="clear" w:color="auto" w:fill="F3F5F7"/>
          </w:tcPr>
          <w:p w14:paraId="182F228A" w14:textId="77777777" w:rsidR="008407B8" w:rsidRDefault="00000000">
            <w:r>
              <w:rPr>
                <w:b/>
                <w:color w:val="243B5A"/>
                <w:sz w:val="24"/>
              </w:rPr>
              <w:t>Cronograma escolar oficial Sierra-Amazonía 2025-2026</w:t>
            </w:r>
          </w:p>
          <w:p w14:paraId="634CC99E" w14:textId="77777777" w:rsidR="008407B8" w:rsidRDefault="00000000">
            <w:r>
              <w:rPr>
                <w:color w:val="222222"/>
              </w:rPr>
              <w:t>La Red se adhiere al cronograma escolar oficial del Ministerio de Educación para el ciclo Sierra-Amazonía 2025-2026, incluyendo periodos de evaluación, recesos académicos y disposiciones complementarias emitidas por la autoridad educativa.</w:t>
            </w:r>
          </w:p>
        </w:tc>
      </w:tr>
    </w:tbl>
    <w:p w14:paraId="06695FEB" w14:textId="77777777" w:rsidR="008407B8" w:rsidRDefault="008407B8"/>
    <w:p w14:paraId="13915B91" w14:textId="77777777" w:rsidR="008407B8" w:rsidRDefault="00000000">
      <w:r>
        <w:br w:type="page"/>
      </w:r>
    </w:p>
    <w:tbl>
      <w:tblPr>
        <w:tblW w:w="0" w:type="auto"/>
        <w:jc w:val="center"/>
        <w:tblLook w:val="04A0" w:firstRow="1" w:lastRow="0" w:firstColumn="1" w:lastColumn="0" w:noHBand="0" w:noVBand="1"/>
      </w:tblPr>
      <w:tblGrid>
        <w:gridCol w:w="1440"/>
        <w:gridCol w:w="8192"/>
      </w:tblGrid>
      <w:tr w:rsidR="008407B8" w14:paraId="4B9405D3" w14:textId="77777777">
        <w:trPr>
          <w:jc w:val="center"/>
        </w:trPr>
        <w:tc>
          <w:tcPr>
            <w:tcW w:w="1440" w:type="dxa"/>
            <w:shd w:val="clear" w:color="auto" w:fill="243B5A"/>
            <w:vAlign w:val="center"/>
          </w:tcPr>
          <w:p w14:paraId="4A728F0F" w14:textId="77777777" w:rsidR="008407B8" w:rsidRDefault="00000000">
            <w:pPr>
              <w:jc w:val="center"/>
            </w:pPr>
            <w:r>
              <w:rPr>
                <w:b/>
                <w:color w:val="FFFFFF"/>
                <w:sz w:val="56"/>
              </w:rPr>
              <w:lastRenderedPageBreak/>
              <w:t>04</w:t>
            </w:r>
          </w:p>
        </w:tc>
        <w:tc>
          <w:tcPr>
            <w:tcW w:w="8064" w:type="dxa"/>
            <w:shd w:val="clear" w:color="auto" w:fill="243B5A"/>
            <w:vAlign w:val="center"/>
          </w:tcPr>
          <w:p w14:paraId="27E713EF" w14:textId="77777777" w:rsidR="008407B8" w:rsidRDefault="00000000">
            <w:r>
              <w:rPr>
                <w:b/>
                <w:color w:val="FFFFFF"/>
                <w:sz w:val="28"/>
              </w:rPr>
              <w:t>Sistema de Gestión de la Calidad e Innovación</w:t>
            </w:r>
          </w:p>
          <w:p w14:paraId="66F4775D" w14:textId="77777777" w:rsidR="008407B8" w:rsidRDefault="00000000">
            <w:r>
              <w:rPr>
                <w:color w:val="E6E6E6"/>
              </w:rPr>
              <w:t>Gestión basada en procesos, evidencia y mejora continua</w:t>
            </w:r>
          </w:p>
        </w:tc>
      </w:tr>
      <w:tr w:rsidR="008407B8" w14:paraId="6C3CECBF" w14:textId="77777777">
        <w:trPr>
          <w:jc w:val="center"/>
        </w:trPr>
        <w:tc>
          <w:tcPr>
            <w:tcW w:w="9632" w:type="dxa"/>
            <w:gridSpan w:val="2"/>
            <w:shd w:val="clear" w:color="auto" w:fill="C9A227"/>
          </w:tcPr>
          <w:p w14:paraId="08B03DBB" w14:textId="77777777" w:rsidR="008407B8" w:rsidRDefault="00000000">
            <w:r>
              <w:t xml:space="preserve"> </w:t>
            </w:r>
          </w:p>
        </w:tc>
      </w:tr>
    </w:tbl>
    <w:p w14:paraId="785355F7" w14:textId="77777777" w:rsidR="008407B8" w:rsidRDefault="008407B8"/>
    <w:tbl>
      <w:tblPr>
        <w:tblW w:w="0" w:type="auto"/>
        <w:jc w:val="center"/>
        <w:tblLook w:val="04A0" w:firstRow="1" w:lastRow="0" w:firstColumn="1" w:lastColumn="0" w:noHBand="0" w:noVBand="1"/>
      </w:tblPr>
      <w:tblGrid>
        <w:gridCol w:w="1008"/>
        <w:gridCol w:w="8496"/>
      </w:tblGrid>
      <w:tr w:rsidR="008407B8" w14:paraId="49C32731" w14:textId="77777777">
        <w:trPr>
          <w:jc w:val="center"/>
        </w:trPr>
        <w:tc>
          <w:tcPr>
            <w:tcW w:w="1008" w:type="dxa"/>
            <w:shd w:val="clear" w:color="auto" w:fill="F3F5F7"/>
            <w:vAlign w:val="center"/>
          </w:tcPr>
          <w:p w14:paraId="3015EB3A" w14:textId="77777777" w:rsidR="008407B8" w:rsidRDefault="00000000">
            <w:pPr>
              <w:jc w:val="center"/>
            </w:pPr>
            <w:r>
              <w:rPr>
                <w:b/>
                <w:color w:val="243B5A"/>
                <w:sz w:val="36"/>
              </w:rPr>
              <w:t>✅</w:t>
            </w:r>
          </w:p>
        </w:tc>
        <w:tc>
          <w:tcPr>
            <w:tcW w:w="8496" w:type="dxa"/>
            <w:shd w:val="clear" w:color="auto" w:fill="F3F5F7"/>
          </w:tcPr>
          <w:p w14:paraId="53EDEBB5" w14:textId="77777777" w:rsidR="008407B8" w:rsidRDefault="00000000">
            <w:r>
              <w:rPr>
                <w:b/>
                <w:color w:val="243B5A"/>
                <w:sz w:val="24"/>
              </w:rPr>
              <w:t>Enfoque ISO 9001:2015 y certificación en la Provincia Norandina</w:t>
            </w:r>
          </w:p>
          <w:p w14:paraId="69785E36" w14:textId="77777777" w:rsidR="008407B8" w:rsidRDefault="00000000">
            <w:r>
              <w:rPr>
                <w:color w:val="222222"/>
              </w:rPr>
              <w:t>En la Provincia Norandina se ha informado la obtención de una certificación multi-sitio ISO 9001:2015 concedida por Bureau Veritas para obras educativas maristas privadas en Colombia, como referente de gestión basada en procesos y mejora continua. En Ecuador, la Red adopta el enfoque ISO 9001:2015 como marco de gestión de calidad, con control documental, medición de resultados y auditorías internas orientadas a la mejora.</w:t>
            </w:r>
          </w:p>
        </w:tc>
      </w:tr>
    </w:tbl>
    <w:p w14:paraId="5EC35A04" w14:textId="77777777" w:rsidR="008407B8" w:rsidRDefault="008407B8"/>
    <w:tbl>
      <w:tblPr>
        <w:tblW w:w="0" w:type="auto"/>
        <w:jc w:val="center"/>
        <w:tblLook w:val="04A0" w:firstRow="1" w:lastRow="0" w:firstColumn="1" w:lastColumn="0" w:noHBand="0" w:noVBand="1"/>
      </w:tblPr>
      <w:tblGrid>
        <w:gridCol w:w="1008"/>
        <w:gridCol w:w="8496"/>
      </w:tblGrid>
      <w:tr w:rsidR="008407B8" w14:paraId="769B7AAC" w14:textId="77777777">
        <w:trPr>
          <w:jc w:val="center"/>
        </w:trPr>
        <w:tc>
          <w:tcPr>
            <w:tcW w:w="1008" w:type="dxa"/>
            <w:shd w:val="clear" w:color="auto" w:fill="F3F5F7"/>
            <w:vAlign w:val="center"/>
          </w:tcPr>
          <w:p w14:paraId="076135C8" w14:textId="77777777" w:rsidR="008407B8" w:rsidRDefault="00000000">
            <w:pPr>
              <w:jc w:val="center"/>
            </w:pPr>
            <w:r>
              <w:rPr>
                <w:b/>
                <w:color w:val="243B5A"/>
                <w:sz w:val="36"/>
              </w:rPr>
              <w:t>🔬</w:t>
            </w:r>
          </w:p>
        </w:tc>
        <w:tc>
          <w:tcPr>
            <w:tcW w:w="8496" w:type="dxa"/>
            <w:shd w:val="clear" w:color="auto" w:fill="F3F5F7"/>
          </w:tcPr>
          <w:p w14:paraId="3758E378" w14:textId="77777777" w:rsidR="008407B8" w:rsidRDefault="00000000">
            <w:r>
              <w:rPr>
                <w:b/>
                <w:color w:val="243B5A"/>
                <w:sz w:val="24"/>
              </w:rPr>
              <w:t>Innovación educativa e investigación aplicada (Visión 2028)</w:t>
            </w:r>
          </w:p>
          <w:p w14:paraId="681B33B4" w14:textId="77777777" w:rsidR="008407B8" w:rsidRDefault="00000000">
            <w:r>
              <w:rPr>
                <w:color w:val="222222"/>
              </w:rPr>
              <w:t>La innovación se gestiona como práctica institucional: diagnóstico, diseño de soluciones, pilotos con indicadores, evaluación de impacto y escalamiento responsable. La investigación educativa aplicada produce evidencia para mejorar aprendizaje, convivencia y gestión escolar. La Visión 2028 integra bilingüismo, investigación y transformación digital.</w:t>
            </w:r>
          </w:p>
        </w:tc>
      </w:tr>
    </w:tbl>
    <w:p w14:paraId="45BE031B" w14:textId="77777777" w:rsidR="008407B8" w:rsidRDefault="008407B8"/>
    <w:tbl>
      <w:tblPr>
        <w:tblW w:w="0" w:type="auto"/>
        <w:jc w:val="center"/>
        <w:tblLook w:val="04A0" w:firstRow="1" w:lastRow="0" w:firstColumn="1" w:lastColumn="0" w:noHBand="0" w:noVBand="1"/>
      </w:tblPr>
      <w:tblGrid>
        <w:gridCol w:w="1008"/>
        <w:gridCol w:w="8496"/>
      </w:tblGrid>
      <w:tr w:rsidR="008407B8" w14:paraId="08CF4C52" w14:textId="77777777">
        <w:trPr>
          <w:jc w:val="center"/>
        </w:trPr>
        <w:tc>
          <w:tcPr>
            <w:tcW w:w="1008" w:type="dxa"/>
            <w:shd w:val="clear" w:color="auto" w:fill="F3F5F7"/>
            <w:vAlign w:val="center"/>
          </w:tcPr>
          <w:p w14:paraId="258A0EEF" w14:textId="77777777" w:rsidR="008407B8" w:rsidRDefault="00000000">
            <w:pPr>
              <w:jc w:val="center"/>
            </w:pPr>
            <w:r>
              <w:rPr>
                <w:b/>
                <w:color w:val="243B5A"/>
                <w:sz w:val="36"/>
              </w:rPr>
              <w:t>📈</w:t>
            </w:r>
          </w:p>
        </w:tc>
        <w:tc>
          <w:tcPr>
            <w:tcW w:w="8496" w:type="dxa"/>
            <w:shd w:val="clear" w:color="auto" w:fill="F3F5F7"/>
          </w:tcPr>
          <w:p w14:paraId="3C6B9E6C" w14:textId="77777777" w:rsidR="008407B8" w:rsidRDefault="00000000">
            <w:r>
              <w:rPr>
                <w:b/>
                <w:color w:val="243B5A"/>
                <w:sz w:val="24"/>
              </w:rPr>
              <w:t>Gobierno de datos y mejora continua</w:t>
            </w:r>
          </w:p>
          <w:p w14:paraId="07A96689" w14:textId="77777777" w:rsidR="008407B8" w:rsidRDefault="00000000">
            <w:r>
              <w:rPr>
                <w:color w:val="222222"/>
              </w:rPr>
              <w:t>Se implementan indicadores clave (asistencia, rendimiento, convivencia, permanencia, participación familiar y satisfacción) y ciclos de mejora (planificación anual, revisiones trimestrales, acciones correctivas y preventivas). La gestión documental asegura versiones controladas, responsables definidos y resguardo digital para auditoría.</w:t>
            </w:r>
          </w:p>
        </w:tc>
      </w:tr>
    </w:tbl>
    <w:p w14:paraId="13AFA242" w14:textId="77777777" w:rsidR="008407B8" w:rsidRDefault="008407B8"/>
    <w:p w14:paraId="53F087DB" w14:textId="77777777" w:rsidR="008407B8" w:rsidRDefault="00000000">
      <w:r>
        <w:br w:type="page"/>
      </w:r>
    </w:p>
    <w:tbl>
      <w:tblPr>
        <w:tblW w:w="0" w:type="auto"/>
        <w:jc w:val="center"/>
        <w:tblLook w:val="04A0" w:firstRow="1" w:lastRow="0" w:firstColumn="1" w:lastColumn="0" w:noHBand="0" w:noVBand="1"/>
      </w:tblPr>
      <w:tblGrid>
        <w:gridCol w:w="1440"/>
        <w:gridCol w:w="8192"/>
      </w:tblGrid>
      <w:tr w:rsidR="008407B8" w14:paraId="6BA225CE" w14:textId="77777777">
        <w:trPr>
          <w:jc w:val="center"/>
        </w:trPr>
        <w:tc>
          <w:tcPr>
            <w:tcW w:w="1440" w:type="dxa"/>
            <w:shd w:val="clear" w:color="auto" w:fill="243B5A"/>
            <w:vAlign w:val="center"/>
          </w:tcPr>
          <w:p w14:paraId="4D98BA25" w14:textId="77777777" w:rsidR="008407B8" w:rsidRDefault="00000000">
            <w:pPr>
              <w:jc w:val="center"/>
            </w:pPr>
            <w:r>
              <w:rPr>
                <w:b/>
                <w:color w:val="FFFFFF"/>
                <w:sz w:val="56"/>
              </w:rPr>
              <w:lastRenderedPageBreak/>
              <w:t>05</w:t>
            </w:r>
          </w:p>
        </w:tc>
        <w:tc>
          <w:tcPr>
            <w:tcW w:w="8064" w:type="dxa"/>
            <w:shd w:val="clear" w:color="auto" w:fill="243B5A"/>
            <w:vAlign w:val="center"/>
          </w:tcPr>
          <w:p w14:paraId="7729F242" w14:textId="77777777" w:rsidR="008407B8" w:rsidRDefault="00000000">
            <w:r>
              <w:rPr>
                <w:b/>
                <w:color w:val="FFFFFF"/>
                <w:sz w:val="28"/>
              </w:rPr>
              <w:t>Ecosistema Digital Unificado</w:t>
            </w:r>
          </w:p>
          <w:p w14:paraId="1F3FBF7F" w14:textId="77777777" w:rsidR="008407B8" w:rsidRDefault="00000000">
            <w:r>
              <w:rPr>
                <w:color w:val="E6E6E6"/>
              </w:rPr>
              <w:t>Gestión académica y comunicación institucional con trazabilidad</w:t>
            </w:r>
          </w:p>
        </w:tc>
      </w:tr>
      <w:tr w:rsidR="008407B8" w14:paraId="4B4334CC" w14:textId="77777777">
        <w:trPr>
          <w:jc w:val="center"/>
        </w:trPr>
        <w:tc>
          <w:tcPr>
            <w:tcW w:w="9632" w:type="dxa"/>
            <w:gridSpan w:val="2"/>
            <w:shd w:val="clear" w:color="auto" w:fill="C9A227"/>
          </w:tcPr>
          <w:p w14:paraId="4691324B" w14:textId="77777777" w:rsidR="008407B8" w:rsidRDefault="00000000">
            <w:r>
              <w:t xml:space="preserve"> </w:t>
            </w:r>
          </w:p>
        </w:tc>
      </w:tr>
    </w:tbl>
    <w:p w14:paraId="6C4D4FDF" w14:textId="77777777" w:rsidR="008407B8" w:rsidRDefault="008407B8"/>
    <w:tbl>
      <w:tblPr>
        <w:tblW w:w="0" w:type="auto"/>
        <w:jc w:val="center"/>
        <w:tblLook w:val="04A0" w:firstRow="1" w:lastRow="0" w:firstColumn="1" w:lastColumn="0" w:noHBand="0" w:noVBand="1"/>
      </w:tblPr>
      <w:tblGrid>
        <w:gridCol w:w="1008"/>
        <w:gridCol w:w="8496"/>
      </w:tblGrid>
      <w:tr w:rsidR="008407B8" w14:paraId="4E25CB7A" w14:textId="77777777">
        <w:trPr>
          <w:jc w:val="center"/>
        </w:trPr>
        <w:tc>
          <w:tcPr>
            <w:tcW w:w="1008" w:type="dxa"/>
            <w:shd w:val="clear" w:color="auto" w:fill="F3F5F7"/>
            <w:vAlign w:val="center"/>
          </w:tcPr>
          <w:p w14:paraId="6CFE0F13" w14:textId="77777777" w:rsidR="008407B8" w:rsidRDefault="00000000">
            <w:pPr>
              <w:jc w:val="center"/>
            </w:pPr>
            <w:r>
              <w:rPr>
                <w:b/>
                <w:color w:val="243B5A"/>
                <w:sz w:val="36"/>
              </w:rPr>
              <w:t>💻</w:t>
            </w:r>
          </w:p>
        </w:tc>
        <w:tc>
          <w:tcPr>
            <w:tcW w:w="8496" w:type="dxa"/>
            <w:shd w:val="clear" w:color="auto" w:fill="F3F5F7"/>
          </w:tcPr>
          <w:p w14:paraId="69954FD9" w14:textId="77777777" w:rsidR="008407B8" w:rsidRDefault="00000000">
            <w:r>
              <w:rPr>
                <w:b/>
                <w:color w:val="243B5A"/>
                <w:sz w:val="24"/>
              </w:rPr>
              <w:t>Idukay (Gestión Académica)</w:t>
            </w:r>
          </w:p>
          <w:p w14:paraId="20253317" w14:textId="77777777" w:rsidR="008407B8" w:rsidRDefault="00000000">
            <w:r>
              <w:rPr>
                <w:color w:val="222222"/>
              </w:rPr>
              <w:t>El uso de Idukay es obligatorio y unificado para la gestión académica: matrícula, seguimiento de notas, reportes, mensajería académica y registros pertinentes para el acompañamiento estudiantil.</w:t>
            </w:r>
          </w:p>
        </w:tc>
      </w:tr>
    </w:tbl>
    <w:p w14:paraId="1AFBE429" w14:textId="77777777" w:rsidR="008407B8" w:rsidRDefault="008407B8"/>
    <w:tbl>
      <w:tblPr>
        <w:tblW w:w="0" w:type="auto"/>
        <w:jc w:val="center"/>
        <w:tblLook w:val="04A0" w:firstRow="1" w:lastRow="0" w:firstColumn="1" w:lastColumn="0" w:noHBand="0" w:noVBand="1"/>
      </w:tblPr>
      <w:tblGrid>
        <w:gridCol w:w="1008"/>
        <w:gridCol w:w="8496"/>
      </w:tblGrid>
      <w:tr w:rsidR="008407B8" w14:paraId="1A5046EF" w14:textId="77777777">
        <w:trPr>
          <w:jc w:val="center"/>
        </w:trPr>
        <w:tc>
          <w:tcPr>
            <w:tcW w:w="1008" w:type="dxa"/>
            <w:shd w:val="clear" w:color="auto" w:fill="F3F5F7"/>
            <w:vAlign w:val="center"/>
          </w:tcPr>
          <w:p w14:paraId="4C6CAE65" w14:textId="77777777" w:rsidR="008407B8" w:rsidRDefault="00000000">
            <w:pPr>
              <w:jc w:val="center"/>
            </w:pPr>
            <w:r>
              <w:rPr>
                <w:b/>
                <w:color w:val="243B5A"/>
                <w:sz w:val="36"/>
              </w:rPr>
              <w:t>📧</w:t>
            </w:r>
          </w:p>
        </w:tc>
        <w:tc>
          <w:tcPr>
            <w:tcW w:w="8496" w:type="dxa"/>
            <w:shd w:val="clear" w:color="auto" w:fill="F3F5F7"/>
          </w:tcPr>
          <w:p w14:paraId="006B26B2" w14:textId="77777777" w:rsidR="008407B8" w:rsidRDefault="00000000">
            <w:r>
              <w:rPr>
                <w:b/>
                <w:color w:val="243B5A"/>
                <w:sz w:val="24"/>
              </w:rPr>
              <w:t>Microsoft Office 365 (Comunicación y Colaboración)</w:t>
            </w:r>
          </w:p>
          <w:p w14:paraId="29B83183" w14:textId="77777777" w:rsidR="008407B8" w:rsidRDefault="00000000">
            <w:r>
              <w:rPr>
                <w:color w:val="222222"/>
              </w:rPr>
              <w:t>Microsoft Office 365 se utiliza como plataforma institucional para correo, calendarios, almacenamiento y colaboración, garantizando trazabilidad de comunicaciones, orden documental y prácticas seguras de acceso según roles.</w:t>
            </w:r>
          </w:p>
        </w:tc>
      </w:tr>
    </w:tbl>
    <w:p w14:paraId="14BE03B9" w14:textId="77777777" w:rsidR="008407B8" w:rsidRDefault="008407B8"/>
    <w:tbl>
      <w:tblPr>
        <w:tblW w:w="0" w:type="auto"/>
        <w:jc w:val="center"/>
        <w:tblLook w:val="04A0" w:firstRow="1" w:lastRow="0" w:firstColumn="1" w:lastColumn="0" w:noHBand="0" w:noVBand="1"/>
      </w:tblPr>
      <w:tblGrid>
        <w:gridCol w:w="1008"/>
        <w:gridCol w:w="8496"/>
      </w:tblGrid>
      <w:tr w:rsidR="008407B8" w14:paraId="291643EB" w14:textId="77777777">
        <w:trPr>
          <w:jc w:val="center"/>
        </w:trPr>
        <w:tc>
          <w:tcPr>
            <w:tcW w:w="1008" w:type="dxa"/>
            <w:shd w:val="clear" w:color="auto" w:fill="F3F5F7"/>
            <w:vAlign w:val="center"/>
          </w:tcPr>
          <w:p w14:paraId="58A19793" w14:textId="77777777" w:rsidR="008407B8" w:rsidRDefault="00000000">
            <w:pPr>
              <w:jc w:val="center"/>
            </w:pPr>
            <w:r>
              <w:rPr>
                <w:b/>
                <w:color w:val="243B5A"/>
                <w:sz w:val="36"/>
              </w:rPr>
              <w:t>🔐</w:t>
            </w:r>
          </w:p>
        </w:tc>
        <w:tc>
          <w:tcPr>
            <w:tcW w:w="8496" w:type="dxa"/>
            <w:shd w:val="clear" w:color="auto" w:fill="F3F5F7"/>
          </w:tcPr>
          <w:p w14:paraId="4A40CFE9" w14:textId="77777777" w:rsidR="008407B8" w:rsidRDefault="00000000">
            <w:r>
              <w:rPr>
                <w:b/>
                <w:color w:val="243B5A"/>
                <w:sz w:val="24"/>
              </w:rPr>
              <w:t>Principios de uso responsable</w:t>
            </w:r>
          </w:p>
          <w:p w14:paraId="3374F636" w14:textId="77777777" w:rsidR="008407B8" w:rsidRDefault="00000000">
            <w:r>
              <w:rPr>
                <w:color w:val="222222"/>
              </w:rPr>
              <w:t>Seguridad: credenciales personales, control de accesos y buenas prácticas de autenticación. Integridad: uso de canales oficiales para decisiones académicas y administrativas. Privacidad: tratamiento de datos conforme a finalidad legítima y mínima necesaria.</w:t>
            </w:r>
          </w:p>
        </w:tc>
      </w:tr>
    </w:tbl>
    <w:p w14:paraId="56386117" w14:textId="77777777" w:rsidR="008407B8" w:rsidRDefault="008407B8"/>
    <w:p w14:paraId="4BF19D93" w14:textId="77777777" w:rsidR="008407B8" w:rsidRDefault="00000000">
      <w:r>
        <w:br w:type="page"/>
      </w:r>
    </w:p>
    <w:tbl>
      <w:tblPr>
        <w:tblW w:w="0" w:type="auto"/>
        <w:jc w:val="center"/>
        <w:tblLook w:val="04A0" w:firstRow="1" w:lastRow="0" w:firstColumn="1" w:lastColumn="0" w:noHBand="0" w:noVBand="1"/>
      </w:tblPr>
      <w:tblGrid>
        <w:gridCol w:w="1440"/>
        <w:gridCol w:w="8192"/>
      </w:tblGrid>
      <w:tr w:rsidR="008407B8" w14:paraId="48DD42E2" w14:textId="77777777">
        <w:trPr>
          <w:jc w:val="center"/>
        </w:trPr>
        <w:tc>
          <w:tcPr>
            <w:tcW w:w="1440" w:type="dxa"/>
            <w:shd w:val="clear" w:color="auto" w:fill="243B5A"/>
            <w:vAlign w:val="center"/>
          </w:tcPr>
          <w:p w14:paraId="0F36F1AA" w14:textId="77777777" w:rsidR="008407B8" w:rsidRDefault="00000000">
            <w:pPr>
              <w:jc w:val="center"/>
            </w:pPr>
            <w:r>
              <w:rPr>
                <w:b/>
                <w:color w:val="FFFFFF"/>
                <w:sz w:val="56"/>
              </w:rPr>
              <w:lastRenderedPageBreak/>
              <w:t>06</w:t>
            </w:r>
          </w:p>
        </w:tc>
        <w:tc>
          <w:tcPr>
            <w:tcW w:w="8064" w:type="dxa"/>
            <w:shd w:val="clear" w:color="auto" w:fill="243B5A"/>
            <w:vAlign w:val="center"/>
          </w:tcPr>
          <w:p w14:paraId="49E1B164" w14:textId="77777777" w:rsidR="008407B8" w:rsidRDefault="00000000">
            <w:r>
              <w:rPr>
                <w:b/>
                <w:color w:val="FFFFFF"/>
                <w:sz w:val="28"/>
              </w:rPr>
              <w:t>Política de Entornos Seguros y Protección</w:t>
            </w:r>
          </w:p>
          <w:p w14:paraId="725F30BA" w14:textId="77777777" w:rsidR="008407B8" w:rsidRDefault="00000000">
            <w:r>
              <w:rPr>
                <w:color w:val="E6E6E6"/>
              </w:rPr>
              <w:t>Prevención, detección, actuación y seguimiento con enfoque de derechos</w:t>
            </w:r>
          </w:p>
        </w:tc>
      </w:tr>
      <w:tr w:rsidR="008407B8" w14:paraId="3AEB1803" w14:textId="77777777">
        <w:trPr>
          <w:jc w:val="center"/>
        </w:trPr>
        <w:tc>
          <w:tcPr>
            <w:tcW w:w="9632" w:type="dxa"/>
            <w:gridSpan w:val="2"/>
            <w:shd w:val="clear" w:color="auto" w:fill="C9A227"/>
          </w:tcPr>
          <w:p w14:paraId="6B5BC6EB" w14:textId="77777777" w:rsidR="008407B8" w:rsidRDefault="00000000">
            <w:r>
              <w:t xml:space="preserve"> </w:t>
            </w:r>
          </w:p>
        </w:tc>
      </w:tr>
    </w:tbl>
    <w:p w14:paraId="680501A1" w14:textId="77777777" w:rsidR="008407B8" w:rsidRDefault="008407B8"/>
    <w:tbl>
      <w:tblPr>
        <w:tblW w:w="0" w:type="auto"/>
        <w:jc w:val="center"/>
        <w:tblLook w:val="04A0" w:firstRow="1" w:lastRow="0" w:firstColumn="1" w:lastColumn="0" w:noHBand="0" w:noVBand="1"/>
      </w:tblPr>
      <w:tblGrid>
        <w:gridCol w:w="1008"/>
        <w:gridCol w:w="8496"/>
      </w:tblGrid>
      <w:tr w:rsidR="008407B8" w14:paraId="528412C4" w14:textId="77777777">
        <w:trPr>
          <w:jc w:val="center"/>
        </w:trPr>
        <w:tc>
          <w:tcPr>
            <w:tcW w:w="1008" w:type="dxa"/>
            <w:shd w:val="clear" w:color="auto" w:fill="F3F5F7"/>
            <w:vAlign w:val="center"/>
          </w:tcPr>
          <w:p w14:paraId="231C75D3" w14:textId="77777777" w:rsidR="008407B8" w:rsidRDefault="00000000">
            <w:pPr>
              <w:jc w:val="center"/>
            </w:pPr>
            <w:r>
              <w:rPr>
                <w:b/>
                <w:color w:val="243B5A"/>
                <w:sz w:val="36"/>
              </w:rPr>
              <w:t>🛡️</w:t>
            </w:r>
          </w:p>
        </w:tc>
        <w:tc>
          <w:tcPr>
            <w:tcW w:w="8496" w:type="dxa"/>
            <w:shd w:val="clear" w:color="auto" w:fill="F3F5F7"/>
          </w:tcPr>
          <w:p w14:paraId="15E0EE8E" w14:textId="77777777" w:rsidR="008407B8" w:rsidRDefault="00000000">
            <w:r>
              <w:rPr>
                <w:b/>
                <w:color w:val="243B5A"/>
                <w:sz w:val="24"/>
              </w:rPr>
              <w:t>Protocolo de Protección de Niños, Niñas y Adolescentes</w:t>
            </w:r>
          </w:p>
          <w:p w14:paraId="712C7B53" w14:textId="77777777" w:rsidR="008407B8" w:rsidRDefault="00000000">
            <w:r>
              <w:rPr>
                <w:color w:val="222222"/>
              </w:rPr>
              <w:t>La Red implementa un protocolo de protección alineado con lineamientos institucionales de la Provincia Norandina, con el fin de garantizar espacios libres de violencia y riesgo, y asegurar prevención, detección temprana, actuación oportuna y seguimiento dentro del marco legal aplicable.</w:t>
            </w:r>
          </w:p>
        </w:tc>
      </w:tr>
    </w:tbl>
    <w:p w14:paraId="2FD0CD89" w14:textId="77777777" w:rsidR="008407B8" w:rsidRDefault="008407B8"/>
    <w:tbl>
      <w:tblPr>
        <w:tblW w:w="0" w:type="auto"/>
        <w:jc w:val="center"/>
        <w:tblLook w:val="04A0" w:firstRow="1" w:lastRow="0" w:firstColumn="1" w:lastColumn="0" w:noHBand="0" w:noVBand="1"/>
      </w:tblPr>
      <w:tblGrid>
        <w:gridCol w:w="1008"/>
        <w:gridCol w:w="8496"/>
      </w:tblGrid>
      <w:tr w:rsidR="008407B8" w14:paraId="37159F36" w14:textId="77777777">
        <w:trPr>
          <w:jc w:val="center"/>
        </w:trPr>
        <w:tc>
          <w:tcPr>
            <w:tcW w:w="1008" w:type="dxa"/>
            <w:shd w:val="clear" w:color="auto" w:fill="F3F5F7"/>
            <w:vAlign w:val="center"/>
          </w:tcPr>
          <w:p w14:paraId="7869BC8F" w14:textId="77777777" w:rsidR="008407B8" w:rsidRDefault="00000000">
            <w:pPr>
              <w:jc w:val="center"/>
            </w:pPr>
            <w:r>
              <w:rPr>
                <w:b/>
                <w:color w:val="243B5A"/>
                <w:sz w:val="36"/>
              </w:rPr>
              <w:t>🧷</w:t>
            </w:r>
          </w:p>
        </w:tc>
        <w:tc>
          <w:tcPr>
            <w:tcW w:w="8496" w:type="dxa"/>
            <w:shd w:val="clear" w:color="auto" w:fill="F3F5F7"/>
          </w:tcPr>
          <w:p w14:paraId="0B73B835" w14:textId="77777777" w:rsidR="008407B8" w:rsidRDefault="00000000">
            <w:r>
              <w:rPr>
                <w:b/>
                <w:color w:val="243B5A"/>
                <w:sz w:val="24"/>
              </w:rPr>
              <w:t>Componentes operativos</w:t>
            </w:r>
          </w:p>
          <w:p w14:paraId="716E7F46" w14:textId="77777777" w:rsidR="008407B8" w:rsidRDefault="00000000">
            <w:r>
              <w:rPr>
                <w:color w:val="222222"/>
              </w:rPr>
              <w:t>Prevención: formación anual obligatoria, códigos de conducta y criterios de selección y acompañamiento del personal. Detección: rutas claras de reporte, canales de escucha seguros y documentación de hechos. Actuación: medidas inmediatas de protección, activación de rutas internas y coordinación con autoridades cuando corresponda. Seguimiento: registro, medidas de apoyo, evaluación de riesgos, cierre documentado y mejora del protocolo.</w:t>
            </w:r>
          </w:p>
        </w:tc>
      </w:tr>
    </w:tbl>
    <w:p w14:paraId="53899AFB" w14:textId="77777777" w:rsidR="008407B8" w:rsidRDefault="008407B8"/>
    <w:tbl>
      <w:tblPr>
        <w:tblW w:w="0" w:type="auto"/>
        <w:jc w:val="center"/>
        <w:tblLook w:val="04A0" w:firstRow="1" w:lastRow="0" w:firstColumn="1" w:lastColumn="0" w:noHBand="0" w:noVBand="1"/>
      </w:tblPr>
      <w:tblGrid>
        <w:gridCol w:w="1008"/>
        <w:gridCol w:w="8496"/>
      </w:tblGrid>
      <w:tr w:rsidR="008407B8" w14:paraId="2EDDABC3" w14:textId="77777777">
        <w:trPr>
          <w:jc w:val="center"/>
        </w:trPr>
        <w:tc>
          <w:tcPr>
            <w:tcW w:w="1008" w:type="dxa"/>
            <w:shd w:val="clear" w:color="auto" w:fill="F3F5F7"/>
            <w:vAlign w:val="center"/>
          </w:tcPr>
          <w:p w14:paraId="610B6A25" w14:textId="77777777" w:rsidR="008407B8" w:rsidRDefault="00000000">
            <w:pPr>
              <w:jc w:val="center"/>
            </w:pPr>
            <w:r>
              <w:rPr>
                <w:b/>
                <w:color w:val="243B5A"/>
                <w:sz w:val="36"/>
              </w:rPr>
              <w:t>👥</w:t>
            </w:r>
          </w:p>
        </w:tc>
        <w:tc>
          <w:tcPr>
            <w:tcW w:w="8496" w:type="dxa"/>
            <w:shd w:val="clear" w:color="auto" w:fill="F3F5F7"/>
          </w:tcPr>
          <w:p w14:paraId="0DF3FAEA" w14:textId="77777777" w:rsidR="008407B8" w:rsidRDefault="00000000">
            <w:r>
              <w:rPr>
                <w:b/>
                <w:color w:val="243B5A"/>
                <w:sz w:val="24"/>
              </w:rPr>
              <w:t>Roles y gobernanza</w:t>
            </w:r>
          </w:p>
          <w:p w14:paraId="63EDA4F1" w14:textId="77777777" w:rsidR="008407B8" w:rsidRDefault="00000000">
            <w:r>
              <w:rPr>
                <w:color w:val="222222"/>
              </w:rPr>
              <w:t>Rectorado y Consejo Ejecutivo: liderazgo, asignación de recursos y control de cumplimiento. Comité de Entornos Seguros: recepción de reportes, activación de rutas y seguimiento. Consejería Estudiantil (cuando exista): apoyo socioemocional y acciones preventivas. Docentes y personal: obligación de reporte por canales definidos y cumplimiento del código de conducta.</w:t>
            </w:r>
          </w:p>
        </w:tc>
      </w:tr>
    </w:tbl>
    <w:p w14:paraId="09131523" w14:textId="77777777" w:rsidR="008407B8" w:rsidRDefault="008407B8"/>
    <w:p w14:paraId="3C1E8328" w14:textId="77777777" w:rsidR="008407B8" w:rsidRDefault="00000000">
      <w:r>
        <w:br w:type="page"/>
      </w:r>
    </w:p>
    <w:tbl>
      <w:tblPr>
        <w:tblW w:w="0" w:type="auto"/>
        <w:jc w:val="center"/>
        <w:tblLook w:val="04A0" w:firstRow="1" w:lastRow="0" w:firstColumn="1" w:lastColumn="0" w:noHBand="0" w:noVBand="1"/>
      </w:tblPr>
      <w:tblGrid>
        <w:gridCol w:w="1440"/>
        <w:gridCol w:w="8192"/>
      </w:tblGrid>
      <w:tr w:rsidR="008407B8" w14:paraId="0EB2079C" w14:textId="77777777">
        <w:trPr>
          <w:jc w:val="center"/>
        </w:trPr>
        <w:tc>
          <w:tcPr>
            <w:tcW w:w="1440" w:type="dxa"/>
            <w:shd w:val="clear" w:color="auto" w:fill="243B5A"/>
            <w:vAlign w:val="center"/>
          </w:tcPr>
          <w:p w14:paraId="799A6C25" w14:textId="77777777" w:rsidR="008407B8" w:rsidRDefault="00000000">
            <w:pPr>
              <w:jc w:val="center"/>
            </w:pPr>
            <w:r>
              <w:rPr>
                <w:b/>
                <w:color w:val="FFFFFF"/>
                <w:sz w:val="56"/>
              </w:rPr>
              <w:lastRenderedPageBreak/>
              <w:t>07</w:t>
            </w:r>
          </w:p>
        </w:tc>
        <w:tc>
          <w:tcPr>
            <w:tcW w:w="8064" w:type="dxa"/>
            <w:shd w:val="clear" w:color="auto" w:fill="243B5A"/>
            <w:vAlign w:val="center"/>
          </w:tcPr>
          <w:p w14:paraId="3433C6BF" w14:textId="77777777" w:rsidR="008407B8" w:rsidRDefault="00000000">
            <w:r>
              <w:rPr>
                <w:b/>
                <w:color w:val="FFFFFF"/>
                <w:sz w:val="28"/>
              </w:rPr>
              <w:t>Compromiso de Transparencia y Protección de Datos</w:t>
            </w:r>
          </w:p>
          <w:p w14:paraId="415C583E" w14:textId="77777777" w:rsidR="008407B8" w:rsidRDefault="00000000">
            <w:r>
              <w:rPr>
                <w:color w:val="E6E6E6"/>
              </w:rPr>
              <w:t>Cobros autorizados, trazabilidad y cumplimiento de LOPDP</w:t>
            </w:r>
          </w:p>
        </w:tc>
      </w:tr>
      <w:tr w:rsidR="008407B8" w14:paraId="06CFE72F" w14:textId="77777777">
        <w:trPr>
          <w:jc w:val="center"/>
        </w:trPr>
        <w:tc>
          <w:tcPr>
            <w:tcW w:w="9632" w:type="dxa"/>
            <w:gridSpan w:val="2"/>
            <w:shd w:val="clear" w:color="auto" w:fill="C9A227"/>
          </w:tcPr>
          <w:p w14:paraId="5EDAB147" w14:textId="77777777" w:rsidR="008407B8" w:rsidRDefault="00000000">
            <w:r>
              <w:t xml:space="preserve"> </w:t>
            </w:r>
          </w:p>
        </w:tc>
      </w:tr>
    </w:tbl>
    <w:p w14:paraId="70E4A93F" w14:textId="77777777" w:rsidR="008407B8" w:rsidRDefault="008407B8"/>
    <w:tbl>
      <w:tblPr>
        <w:tblW w:w="0" w:type="auto"/>
        <w:jc w:val="center"/>
        <w:tblLook w:val="04A0" w:firstRow="1" w:lastRow="0" w:firstColumn="1" w:lastColumn="0" w:noHBand="0" w:noVBand="1"/>
      </w:tblPr>
      <w:tblGrid>
        <w:gridCol w:w="1008"/>
        <w:gridCol w:w="8496"/>
      </w:tblGrid>
      <w:tr w:rsidR="008407B8" w14:paraId="3D63EC1E" w14:textId="77777777">
        <w:trPr>
          <w:jc w:val="center"/>
        </w:trPr>
        <w:tc>
          <w:tcPr>
            <w:tcW w:w="1008" w:type="dxa"/>
            <w:shd w:val="clear" w:color="auto" w:fill="F3F5F7"/>
            <w:vAlign w:val="center"/>
          </w:tcPr>
          <w:p w14:paraId="0F3DD86A" w14:textId="77777777" w:rsidR="008407B8" w:rsidRDefault="00000000">
            <w:pPr>
              <w:jc w:val="center"/>
            </w:pPr>
            <w:r>
              <w:rPr>
                <w:b/>
                <w:color w:val="243B5A"/>
                <w:sz w:val="36"/>
              </w:rPr>
              <w:t>🧿</w:t>
            </w:r>
          </w:p>
        </w:tc>
        <w:tc>
          <w:tcPr>
            <w:tcW w:w="8496" w:type="dxa"/>
            <w:shd w:val="clear" w:color="auto" w:fill="F3F5F7"/>
          </w:tcPr>
          <w:p w14:paraId="52A41E2B" w14:textId="77777777" w:rsidR="008407B8" w:rsidRDefault="00000000">
            <w:r>
              <w:rPr>
                <w:b/>
                <w:color w:val="243B5A"/>
                <w:sz w:val="24"/>
              </w:rPr>
              <w:t>Declaración de no cobros adicionales no autorizados</w:t>
            </w:r>
          </w:p>
          <w:p w14:paraId="7D263248" w14:textId="77777777" w:rsidR="008407B8" w:rsidRDefault="00000000">
            <w:r>
              <w:rPr>
                <w:color w:val="222222"/>
              </w:rPr>
              <w:t>Se ratifica la prohibición de cobros adicionales no autorizados. Los rubros por uniformes, útiles o materiales solo podrán exigirse cuando hayan sido comunicados con claridad y se encuentren debidamente aprobados por la autoridad educativa en el marco normativo aplicable. La comunidad educativa recibirá información clara sobre costos aprobados y mecanismos de consulta.</w:t>
            </w:r>
          </w:p>
        </w:tc>
      </w:tr>
    </w:tbl>
    <w:p w14:paraId="3D660D65" w14:textId="77777777" w:rsidR="008407B8" w:rsidRDefault="008407B8"/>
    <w:tbl>
      <w:tblPr>
        <w:tblW w:w="0" w:type="auto"/>
        <w:jc w:val="center"/>
        <w:tblLook w:val="04A0" w:firstRow="1" w:lastRow="0" w:firstColumn="1" w:lastColumn="0" w:noHBand="0" w:noVBand="1"/>
      </w:tblPr>
      <w:tblGrid>
        <w:gridCol w:w="1008"/>
        <w:gridCol w:w="8496"/>
      </w:tblGrid>
      <w:tr w:rsidR="008407B8" w14:paraId="7790D5D5" w14:textId="77777777">
        <w:trPr>
          <w:jc w:val="center"/>
        </w:trPr>
        <w:tc>
          <w:tcPr>
            <w:tcW w:w="1008" w:type="dxa"/>
            <w:shd w:val="clear" w:color="auto" w:fill="F3F5F7"/>
            <w:vAlign w:val="center"/>
          </w:tcPr>
          <w:p w14:paraId="0F1CB502" w14:textId="77777777" w:rsidR="008407B8" w:rsidRDefault="00000000">
            <w:pPr>
              <w:jc w:val="center"/>
            </w:pPr>
            <w:r>
              <w:rPr>
                <w:b/>
                <w:color w:val="243B5A"/>
                <w:sz w:val="36"/>
              </w:rPr>
              <w:t>🗂️</w:t>
            </w:r>
          </w:p>
        </w:tc>
        <w:tc>
          <w:tcPr>
            <w:tcW w:w="8496" w:type="dxa"/>
            <w:shd w:val="clear" w:color="auto" w:fill="F3F5F7"/>
          </w:tcPr>
          <w:p w14:paraId="5B58D4FB" w14:textId="77777777" w:rsidR="008407B8" w:rsidRDefault="00000000">
            <w:r>
              <w:rPr>
                <w:b/>
                <w:color w:val="243B5A"/>
                <w:sz w:val="24"/>
              </w:rPr>
              <w:t>Protección de datos personales (LOPDP)</w:t>
            </w:r>
          </w:p>
          <w:p w14:paraId="79EF976B" w14:textId="77777777" w:rsidR="008407B8" w:rsidRDefault="00000000">
            <w:r>
              <w:rPr>
                <w:color w:val="222222"/>
              </w:rPr>
              <w:t>El tratamiento de datos personales se realiza conforme a la Ley Orgánica de Protección de Datos Personales (LOPDP), aplicando licitud, finalidad, proporcionalidad, seguridad y confidencialidad. Los datos de niños, niñas y adolescentes reciben protección reforzada mediante medidas técnicas y organizativas acordes al riesgo.</w:t>
            </w:r>
          </w:p>
        </w:tc>
      </w:tr>
    </w:tbl>
    <w:p w14:paraId="0A68573A" w14:textId="77777777" w:rsidR="008407B8" w:rsidRDefault="008407B8"/>
    <w:tbl>
      <w:tblPr>
        <w:tblW w:w="0" w:type="auto"/>
        <w:jc w:val="center"/>
        <w:tblLook w:val="04A0" w:firstRow="1" w:lastRow="0" w:firstColumn="1" w:lastColumn="0" w:noHBand="0" w:noVBand="1"/>
      </w:tblPr>
      <w:tblGrid>
        <w:gridCol w:w="1440"/>
        <w:gridCol w:w="8192"/>
      </w:tblGrid>
      <w:tr w:rsidR="008407B8" w14:paraId="1BEE8DF2" w14:textId="77777777">
        <w:trPr>
          <w:jc w:val="center"/>
        </w:trPr>
        <w:tc>
          <w:tcPr>
            <w:tcW w:w="1440" w:type="dxa"/>
            <w:shd w:val="clear" w:color="auto" w:fill="243B5A"/>
            <w:vAlign w:val="center"/>
          </w:tcPr>
          <w:p w14:paraId="5FE6EF83" w14:textId="77777777" w:rsidR="008407B8" w:rsidRDefault="00000000">
            <w:pPr>
              <w:jc w:val="center"/>
            </w:pPr>
            <w:r>
              <w:rPr>
                <w:b/>
                <w:color w:val="FFFFFF"/>
                <w:sz w:val="56"/>
              </w:rPr>
              <w:t>08</w:t>
            </w:r>
          </w:p>
        </w:tc>
        <w:tc>
          <w:tcPr>
            <w:tcW w:w="8064" w:type="dxa"/>
            <w:shd w:val="clear" w:color="auto" w:fill="243B5A"/>
            <w:vAlign w:val="center"/>
          </w:tcPr>
          <w:p w14:paraId="397F4B35" w14:textId="77777777" w:rsidR="008407B8" w:rsidRDefault="00000000">
            <w:r>
              <w:rPr>
                <w:b/>
                <w:color w:val="FFFFFF"/>
                <w:sz w:val="28"/>
              </w:rPr>
              <w:t>Suscripción y Responsables</w:t>
            </w:r>
          </w:p>
          <w:p w14:paraId="63750931" w14:textId="77777777" w:rsidR="008407B8" w:rsidRDefault="00000000">
            <w:r>
              <w:rPr>
                <w:color w:val="E6E6E6"/>
              </w:rPr>
              <w:t>Vigencia, revisión periódica y responsabilidad institucional</w:t>
            </w:r>
          </w:p>
        </w:tc>
      </w:tr>
      <w:tr w:rsidR="008407B8" w14:paraId="018D6BA4" w14:textId="77777777">
        <w:trPr>
          <w:jc w:val="center"/>
        </w:trPr>
        <w:tc>
          <w:tcPr>
            <w:tcW w:w="9632" w:type="dxa"/>
            <w:gridSpan w:val="2"/>
            <w:shd w:val="clear" w:color="auto" w:fill="C9A227"/>
          </w:tcPr>
          <w:p w14:paraId="29C83B08" w14:textId="77777777" w:rsidR="008407B8" w:rsidRDefault="00000000">
            <w:r>
              <w:t xml:space="preserve"> </w:t>
            </w:r>
          </w:p>
        </w:tc>
      </w:tr>
    </w:tbl>
    <w:p w14:paraId="29671BDE" w14:textId="77777777" w:rsidR="008407B8" w:rsidRDefault="008407B8"/>
    <w:tbl>
      <w:tblPr>
        <w:tblW w:w="0" w:type="auto"/>
        <w:jc w:val="center"/>
        <w:tblLook w:val="04A0" w:firstRow="1" w:lastRow="0" w:firstColumn="1" w:lastColumn="0" w:noHBand="0" w:noVBand="1"/>
      </w:tblPr>
      <w:tblGrid>
        <w:gridCol w:w="1008"/>
        <w:gridCol w:w="8496"/>
      </w:tblGrid>
      <w:tr w:rsidR="008407B8" w14:paraId="206465F8" w14:textId="77777777">
        <w:trPr>
          <w:jc w:val="center"/>
        </w:trPr>
        <w:tc>
          <w:tcPr>
            <w:tcW w:w="1008" w:type="dxa"/>
            <w:shd w:val="clear" w:color="auto" w:fill="F3F5F7"/>
            <w:vAlign w:val="center"/>
          </w:tcPr>
          <w:p w14:paraId="73A4CA58" w14:textId="77777777" w:rsidR="008407B8" w:rsidRDefault="00000000">
            <w:pPr>
              <w:jc w:val="center"/>
            </w:pPr>
            <w:r>
              <w:rPr>
                <w:b/>
                <w:color w:val="243B5A"/>
                <w:sz w:val="36"/>
              </w:rPr>
              <w:t>✍️</w:t>
            </w:r>
          </w:p>
        </w:tc>
        <w:tc>
          <w:tcPr>
            <w:tcW w:w="8496" w:type="dxa"/>
            <w:shd w:val="clear" w:color="auto" w:fill="F3F5F7"/>
          </w:tcPr>
          <w:p w14:paraId="13F38E3E" w14:textId="77777777" w:rsidR="008407B8" w:rsidRDefault="00000000">
            <w:r>
              <w:rPr>
                <w:b/>
                <w:color w:val="243B5A"/>
                <w:sz w:val="24"/>
              </w:rPr>
              <w:t>Emisión institucional</w:t>
            </w:r>
          </w:p>
          <w:p w14:paraId="01A48A90" w14:textId="77777777" w:rsidR="008407B8" w:rsidRDefault="00000000">
            <w:r>
              <w:rPr>
                <w:color w:val="222222"/>
              </w:rPr>
              <w:t>El presente Compendio se emite como instrumento institucional de referencia y transparencia. Su implementación se realiza a través de los órganos directivos de cada obra educativa, con revisiones periódicas para mantener vigencia normativa y operativa.</w:t>
            </w:r>
          </w:p>
        </w:tc>
      </w:tr>
    </w:tbl>
    <w:p w14:paraId="46A8A2A7" w14:textId="77777777" w:rsidR="008407B8" w:rsidRDefault="008407B8"/>
    <w:p w14:paraId="4E74B18D" w14:textId="77777777" w:rsidR="008407B8" w:rsidRDefault="008407B8"/>
    <w:p w14:paraId="6DCC5E50" w14:textId="77777777" w:rsidR="008407B8" w:rsidRDefault="00000000">
      <w:r>
        <w:rPr>
          <w:color w:val="222222"/>
        </w:rPr>
        <w:lastRenderedPageBreak/>
        <w:t>__________________________________</w:t>
      </w:r>
    </w:p>
    <w:p w14:paraId="544B1913" w14:textId="77777777" w:rsidR="008407B8" w:rsidRDefault="00000000">
      <w:r>
        <w:rPr>
          <w:b/>
          <w:color w:val="243B5A"/>
        </w:rPr>
        <w:t>Rector/a</w:t>
      </w:r>
    </w:p>
    <w:p w14:paraId="600DCB09" w14:textId="77777777" w:rsidR="008407B8" w:rsidRDefault="008407B8"/>
    <w:p w14:paraId="0C331002" w14:textId="77777777" w:rsidR="008407B8" w:rsidRDefault="00000000">
      <w:r>
        <w:rPr>
          <w:color w:val="222222"/>
        </w:rPr>
        <w:t>__________________________________</w:t>
      </w:r>
    </w:p>
    <w:p w14:paraId="1DF9DA3F" w14:textId="77777777" w:rsidR="008407B8" w:rsidRDefault="00000000">
      <w:r>
        <w:rPr>
          <w:b/>
          <w:color w:val="243B5A"/>
        </w:rPr>
        <w:t>Consejo Ejecutivo / Colectivo Económico</w:t>
      </w:r>
    </w:p>
    <w:p w14:paraId="15365B3C" w14:textId="77777777" w:rsidR="008407B8" w:rsidRDefault="00000000">
      <w:r>
        <w:br w:type="page"/>
      </w:r>
    </w:p>
    <w:tbl>
      <w:tblPr>
        <w:tblW w:w="0" w:type="auto"/>
        <w:jc w:val="center"/>
        <w:tblLook w:val="04A0" w:firstRow="1" w:lastRow="0" w:firstColumn="1" w:lastColumn="0" w:noHBand="0" w:noVBand="1"/>
      </w:tblPr>
      <w:tblGrid>
        <w:gridCol w:w="1440"/>
        <w:gridCol w:w="8192"/>
      </w:tblGrid>
      <w:tr w:rsidR="008407B8" w14:paraId="2F66EA9C" w14:textId="77777777">
        <w:trPr>
          <w:jc w:val="center"/>
        </w:trPr>
        <w:tc>
          <w:tcPr>
            <w:tcW w:w="1440" w:type="dxa"/>
            <w:shd w:val="clear" w:color="auto" w:fill="243B5A"/>
            <w:vAlign w:val="center"/>
          </w:tcPr>
          <w:p w14:paraId="6156D70D" w14:textId="77777777" w:rsidR="008407B8" w:rsidRDefault="00000000">
            <w:pPr>
              <w:jc w:val="center"/>
            </w:pPr>
            <w:r>
              <w:rPr>
                <w:b/>
                <w:color w:val="FFFFFF"/>
                <w:sz w:val="56"/>
              </w:rPr>
              <w:lastRenderedPageBreak/>
              <w:t>09</w:t>
            </w:r>
          </w:p>
        </w:tc>
        <w:tc>
          <w:tcPr>
            <w:tcW w:w="8064" w:type="dxa"/>
            <w:shd w:val="clear" w:color="auto" w:fill="243B5A"/>
            <w:vAlign w:val="center"/>
          </w:tcPr>
          <w:p w14:paraId="5B84E7C9" w14:textId="77777777" w:rsidR="008407B8" w:rsidRDefault="00000000">
            <w:r>
              <w:rPr>
                <w:b/>
                <w:color w:val="FFFFFF"/>
                <w:sz w:val="28"/>
              </w:rPr>
              <w:t>Referencias institucionales y normativas</w:t>
            </w:r>
          </w:p>
          <w:p w14:paraId="14BCF099" w14:textId="77777777" w:rsidR="008407B8" w:rsidRDefault="00000000">
            <w:r>
              <w:rPr>
                <w:color w:val="E6E6E6"/>
              </w:rPr>
              <w:t>Fuentes de transparencia y cumplimiento</w:t>
            </w:r>
          </w:p>
        </w:tc>
      </w:tr>
      <w:tr w:rsidR="008407B8" w14:paraId="1EE2D15F" w14:textId="77777777">
        <w:trPr>
          <w:jc w:val="center"/>
        </w:trPr>
        <w:tc>
          <w:tcPr>
            <w:tcW w:w="9632" w:type="dxa"/>
            <w:gridSpan w:val="2"/>
            <w:shd w:val="clear" w:color="auto" w:fill="C9A227"/>
          </w:tcPr>
          <w:p w14:paraId="1A433206" w14:textId="77777777" w:rsidR="008407B8" w:rsidRDefault="00000000">
            <w:r>
              <w:t xml:space="preserve"> </w:t>
            </w:r>
          </w:p>
        </w:tc>
      </w:tr>
    </w:tbl>
    <w:p w14:paraId="7E86DE08" w14:textId="77777777" w:rsidR="008407B8" w:rsidRDefault="008407B8"/>
    <w:tbl>
      <w:tblPr>
        <w:tblW w:w="0" w:type="auto"/>
        <w:jc w:val="center"/>
        <w:tblLook w:val="04A0" w:firstRow="1" w:lastRow="0" w:firstColumn="1" w:lastColumn="0" w:noHBand="0" w:noVBand="1"/>
      </w:tblPr>
      <w:tblGrid>
        <w:gridCol w:w="1008"/>
        <w:gridCol w:w="8496"/>
      </w:tblGrid>
      <w:tr w:rsidR="008407B8" w14:paraId="62444B6A" w14:textId="77777777">
        <w:trPr>
          <w:jc w:val="center"/>
        </w:trPr>
        <w:tc>
          <w:tcPr>
            <w:tcW w:w="1008" w:type="dxa"/>
            <w:shd w:val="clear" w:color="auto" w:fill="F3F5F7"/>
            <w:vAlign w:val="center"/>
          </w:tcPr>
          <w:p w14:paraId="1700E5C6" w14:textId="77777777" w:rsidR="008407B8" w:rsidRDefault="00000000">
            <w:pPr>
              <w:jc w:val="center"/>
            </w:pPr>
            <w:r>
              <w:rPr>
                <w:b/>
                <w:color w:val="243B5A"/>
                <w:sz w:val="36"/>
              </w:rPr>
              <w:t>🔎</w:t>
            </w:r>
          </w:p>
        </w:tc>
        <w:tc>
          <w:tcPr>
            <w:tcW w:w="8496" w:type="dxa"/>
            <w:shd w:val="clear" w:color="auto" w:fill="F3F5F7"/>
          </w:tcPr>
          <w:p w14:paraId="187BA2FE" w14:textId="77777777" w:rsidR="008407B8" w:rsidRDefault="00000000">
            <w:r>
              <w:rPr>
                <w:b/>
                <w:color w:val="243B5A"/>
                <w:sz w:val="24"/>
              </w:rPr>
              <w:t>Referencias</w:t>
            </w:r>
          </w:p>
          <w:p w14:paraId="5A289761" w14:textId="77777777" w:rsidR="008407B8" w:rsidRDefault="00000000">
            <w:r>
              <w:rPr>
                <w:color w:val="222222"/>
              </w:rPr>
              <w:t>Fuentes institucionales y normativas utilizadas como referencia de transparencia y cumplimiento:</w:t>
            </w:r>
          </w:p>
        </w:tc>
      </w:tr>
    </w:tbl>
    <w:p w14:paraId="710DFFEA" w14:textId="77777777" w:rsidR="008407B8" w:rsidRDefault="008407B8"/>
    <w:p w14:paraId="411FAF1E" w14:textId="77777777" w:rsidR="008407B8" w:rsidRDefault="00000000">
      <w:r>
        <w:rPr>
          <w:color w:val="444444"/>
          <w:sz w:val="20"/>
        </w:rPr>
        <w:t>Constitución de la República del Ecuador, Artículos 26 y 27.</w:t>
      </w:r>
    </w:p>
    <w:p w14:paraId="778DD628" w14:textId="77777777" w:rsidR="008407B8" w:rsidRDefault="00000000">
      <w:r>
        <w:rPr>
          <w:color w:val="444444"/>
          <w:sz w:val="20"/>
        </w:rPr>
        <w:t>Ley Orgánica de Educación Intercultural (LOEI), Artículos 54 y 57.</w:t>
      </w:r>
    </w:p>
    <w:p w14:paraId="175DA895" w14:textId="77777777" w:rsidR="008407B8" w:rsidRDefault="00000000">
      <w:r>
        <w:rPr>
          <w:color w:val="444444"/>
          <w:sz w:val="20"/>
        </w:rPr>
        <w:t>Acuerdo Ministerial Nro. MINEDUC-MINEDUC-2023-00001-A (normativa para fijación de costos).</w:t>
      </w:r>
    </w:p>
    <w:p w14:paraId="7F190CE7" w14:textId="77777777" w:rsidR="008407B8" w:rsidRDefault="00000000">
      <w:r>
        <w:rPr>
          <w:color w:val="444444"/>
          <w:sz w:val="20"/>
        </w:rPr>
        <w:t>Resolución de Costos Sede Quito: Nro. MINEDUC-SEDMQ-2023-0142-R.</w:t>
      </w:r>
    </w:p>
    <w:p w14:paraId="7F1103A2" w14:textId="77777777" w:rsidR="008407B8" w:rsidRDefault="00000000">
      <w:r>
        <w:rPr>
          <w:color w:val="444444"/>
          <w:sz w:val="20"/>
        </w:rPr>
        <w:t>Provincia Norandina – Sistema de Gestión de la Calidad (información institucional): https://fmsnor.org/sistema-de-gestion-de-la-calidad/</w:t>
      </w:r>
    </w:p>
    <w:p w14:paraId="4AC558A9" w14:textId="77777777" w:rsidR="008407B8" w:rsidRDefault="00000000">
      <w:r>
        <w:rPr>
          <w:color w:val="444444"/>
          <w:sz w:val="20"/>
        </w:rPr>
        <w:t>Provincia Norandina – Nota institucional sobre certificación ISO 9001:2015 (Bureau Veritas): https://fmsnor.org/certificacion-iso-90012015-un-ano-de-calidad-educativa/</w:t>
      </w:r>
    </w:p>
    <w:p w14:paraId="0FE71A26" w14:textId="77777777" w:rsidR="008407B8" w:rsidRDefault="00000000">
      <w:r>
        <w:rPr>
          <w:color w:val="444444"/>
          <w:sz w:val="20"/>
        </w:rPr>
        <w:t>Organización Marista Ecuatoriana: https://maristasecuador.org/</w:t>
      </w:r>
    </w:p>
    <w:p w14:paraId="2FE2D39C" w14:textId="77777777" w:rsidR="008407B8" w:rsidRDefault="008407B8"/>
    <w:sectPr w:rsidR="008407B8" w:rsidSect="00034616">
      <w:headerReference w:type="default" r:id="rId8"/>
      <w:footerReference w:type="default" r:id="rId9"/>
      <w:pgSz w:w="12240" w:h="15840"/>
      <w:pgMar w:top="1304" w:right="1304" w:bottom="1304" w:left="1304" w:header="34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DDA4" w14:textId="77777777" w:rsidR="00F975C1" w:rsidRDefault="00F975C1">
      <w:pPr>
        <w:spacing w:after="0" w:line="240" w:lineRule="auto"/>
      </w:pPr>
      <w:r>
        <w:separator/>
      </w:r>
    </w:p>
  </w:endnote>
  <w:endnote w:type="continuationSeparator" w:id="0">
    <w:p w14:paraId="02534569" w14:textId="77777777" w:rsidR="00F975C1" w:rsidRDefault="00F97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752"/>
      <w:gridCol w:w="4752"/>
    </w:tblGrid>
    <w:tr w:rsidR="008407B8" w14:paraId="0002AB0A" w14:textId="77777777">
      <w:trPr>
        <w:jc w:val="center"/>
      </w:trPr>
      <w:tc>
        <w:tcPr>
          <w:tcW w:w="4752" w:type="dxa"/>
        </w:tcPr>
        <w:p w14:paraId="61EF07E2" w14:textId="77777777" w:rsidR="008407B8" w:rsidRPr="0005604F" w:rsidRDefault="00000000">
          <w:pPr>
            <w:rPr>
              <w:lang w:val="es-EC"/>
            </w:rPr>
          </w:pPr>
          <w:r w:rsidRPr="0005604F">
            <w:rPr>
              <w:color w:val="666666"/>
              <w:sz w:val="18"/>
              <w:lang w:val="es-EC"/>
            </w:rPr>
            <w:t>Red Marista Ecuador | maristasecuador.org</w:t>
          </w:r>
        </w:p>
      </w:tc>
      <w:tc>
        <w:tcPr>
          <w:tcW w:w="4752" w:type="dxa"/>
        </w:tcPr>
        <w:p w14:paraId="2A0E41E5" w14:textId="77777777" w:rsidR="008407B8" w:rsidRDefault="00000000">
          <w:pPr>
            <w:jc w:val="right"/>
          </w:pPr>
          <w:r>
            <w:rPr>
              <w:color w:val="666666"/>
              <w:sz w:val="18"/>
            </w:rPr>
            <w:t xml:space="preserve">Página </w:t>
          </w:r>
          <w:r>
            <w:rPr>
              <w:color w:val="666666"/>
              <w:sz w:val="18"/>
            </w:rPr>
            <w:fldChar w:fldCharType="begin"/>
          </w:r>
          <w:r>
            <w:rPr>
              <w:color w:val="666666"/>
              <w:sz w:val="18"/>
            </w:rPr>
            <w:instrText xml:space="preserve"> PAGE </w:instrText>
          </w:r>
          <w:r>
            <w:rPr>
              <w:color w:val="666666"/>
              <w:sz w:val="18"/>
            </w:rPr>
            <w:fldChar w:fldCharType="separate"/>
          </w:r>
          <w:r w:rsidR="0005604F">
            <w:rPr>
              <w:noProof/>
              <w:color w:val="666666"/>
              <w:sz w:val="18"/>
            </w:rPr>
            <w:t>1</w:t>
          </w:r>
          <w:r>
            <w:rPr>
              <w:color w:val="666666"/>
              <w:sz w:val="18"/>
            </w:rPr>
            <w:fldChar w:fldCharType="end"/>
          </w:r>
          <w:r>
            <w:rPr>
              <w:color w:val="666666"/>
              <w:sz w:val="18"/>
            </w:rPr>
            <w:t xml:space="preserve"> de </w:t>
          </w:r>
          <w:r>
            <w:rPr>
              <w:color w:val="666666"/>
              <w:sz w:val="18"/>
            </w:rPr>
            <w:fldChar w:fldCharType="begin"/>
          </w:r>
          <w:r>
            <w:rPr>
              <w:color w:val="666666"/>
              <w:sz w:val="18"/>
            </w:rPr>
            <w:instrText xml:space="preserve"> NUMPAGES </w:instrText>
          </w:r>
          <w:r>
            <w:rPr>
              <w:color w:val="666666"/>
              <w:sz w:val="18"/>
            </w:rPr>
            <w:fldChar w:fldCharType="separate"/>
          </w:r>
          <w:r w:rsidR="0005604F">
            <w:rPr>
              <w:noProof/>
              <w:color w:val="666666"/>
              <w:sz w:val="18"/>
            </w:rPr>
            <w:t>2</w:t>
          </w:r>
          <w:r>
            <w:rPr>
              <w:color w:val="666666"/>
              <w:sz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E0C3" w14:textId="77777777" w:rsidR="00F975C1" w:rsidRDefault="00F975C1">
      <w:pPr>
        <w:spacing w:after="0" w:line="240" w:lineRule="auto"/>
      </w:pPr>
      <w:r>
        <w:separator/>
      </w:r>
    </w:p>
  </w:footnote>
  <w:footnote w:type="continuationSeparator" w:id="0">
    <w:p w14:paraId="570B5620" w14:textId="77777777" w:rsidR="00F975C1" w:rsidRDefault="00F97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E612" w14:textId="77777777" w:rsidR="008407B8" w:rsidRDefault="00000000">
    <w:pPr>
      <w:jc w:val="center"/>
    </w:pPr>
    <w:r>
      <w:rPr>
        <w:noProof/>
      </w:rPr>
      <w:drawing>
        <wp:inline distT="0" distB="0" distL="0" distR="0" wp14:anchorId="44BC331F" wp14:editId="0302010C">
          <wp:extent cx="105156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MARISTA QUITO COLEGIO 2026.png"/>
                  <pic:cNvPicPr/>
                </pic:nvPicPr>
                <pic:blipFill>
                  <a:blip r:embed="rId1"/>
                  <a:stretch>
                    <a:fillRect/>
                  </a:stretch>
                </pic:blipFill>
                <pic:spPr>
                  <a:xfrm>
                    <a:off x="0" y="0"/>
                    <a:ext cx="1051560" cy="1051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369653252">
    <w:abstractNumId w:val="8"/>
  </w:num>
  <w:num w:numId="2" w16cid:durableId="2100906996">
    <w:abstractNumId w:val="6"/>
  </w:num>
  <w:num w:numId="3" w16cid:durableId="2139716027">
    <w:abstractNumId w:val="5"/>
  </w:num>
  <w:num w:numId="4" w16cid:durableId="1219056025">
    <w:abstractNumId w:val="4"/>
  </w:num>
  <w:num w:numId="5" w16cid:durableId="1451631668">
    <w:abstractNumId w:val="7"/>
  </w:num>
  <w:num w:numId="6" w16cid:durableId="641934136">
    <w:abstractNumId w:val="3"/>
  </w:num>
  <w:num w:numId="7" w16cid:durableId="1802921579">
    <w:abstractNumId w:val="2"/>
  </w:num>
  <w:num w:numId="8" w16cid:durableId="1566798020">
    <w:abstractNumId w:val="1"/>
  </w:num>
  <w:num w:numId="9" w16cid:durableId="197528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04F"/>
    <w:rsid w:val="0006063C"/>
    <w:rsid w:val="0015074B"/>
    <w:rsid w:val="0029639D"/>
    <w:rsid w:val="00326F90"/>
    <w:rsid w:val="00425BFB"/>
    <w:rsid w:val="008407B8"/>
    <w:rsid w:val="00AA1D8D"/>
    <w:rsid w:val="00B47730"/>
    <w:rsid w:val="00CB0664"/>
    <w:rsid w:val="00F975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C02DBD"/>
  <w14:defaultImageDpi w14:val="300"/>
  <w15:docId w15:val="{E8AE269B-15D1-43FD-8DF3-020F5800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1679</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Cevallos</cp:lastModifiedBy>
  <cp:revision>2</cp:revision>
  <dcterms:created xsi:type="dcterms:W3CDTF">2026-03-09T20:38:00Z</dcterms:created>
  <dcterms:modified xsi:type="dcterms:W3CDTF">2026-03-09T20:38:00Z</dcterms:modified>
  <cp:category/>
</cp:coreProperties>
</file>